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665B5C42" w:rsidR="008A22CF" w:rsidRPr="004A3348" w:rsidRDefault="008A22CF" w:rsidP="008A22CF">
      <w:pPr>
        <w:pStyle w:val="3GPPHeader"/>
        <w:spacing w:after="60"/>
        <w:rPr>
          <w:lang w:val="en-US"/>
        </w:rPr>
      </w:pPr>
      <w:bookmarkStart w:id="0" w:name="_Hlk487029736"/>
      <w:bookmarkEnd w:id="0"/>
      <w:r w:rsidRPr="001A5974">
        <w:rPr>
          <w:lang w:val="en-US"/>
        </w:rPr>
        <w:t>3GPP TSG-RAN WG4</w:t>
      </w:r>
      <w:r w:rsidR="001D4850" w:rsidRPr="001A5974">
        <w:rPr>
          <w:lang w:val="en-US"/>
        </w:rPr>
        <w:t xml:space="preserve"> Meeting</w:t>
      </w:r>
      <w:r w:rsidR="005071CC" w:rsidRPr="001A5974">
        <w:rPr>
          <w:lang w:val="en-US"/>
        </w:rPr>
        <w:t xml:space="preserve"> </w:t>
      </w:r>
      <w:r w:rsidR="00837AD9" w:rsidRPr="00C0585F">
        <w:rPr>
          <w:rFonts w:eastAsia="PMingLiU" w:cs="Arial"/>
          <w:color w:val="000000" w:themeColor="text1"/>
          <w:sz w:val="22"/>
          <w:lang w:val="en-US" w:eastAsia="ja-JP"/>
        </w:rPr>
        <w:t>#</w:t>
      </w:r>
      <w:bookmarkStart w:id="1" w:name="_Hlk110436944"/>
      <w:r w:rsidR="00837AD9" w:rsidRPr="00C0585F">
        <w:rPr>
          <w:rFonts w:eastAsia="PMingLiU" w:cs="Arial"/>
          <w:color w:val="000000" w:themeColor="text1"/>
          <w:sz w:val="22"/>
          <w:lang w:val="en-US" w:eastAsia="ja-JP"/>
        </w:rPr>
        <w:t>10</w:t>
      </w:r>
      <w:bookmarkEnd w:id="1"/>
      <w:r w:rsidR="00AE5BBB">
        <w:rPr>
          <w:rFonts w:eastAsia="PMingLiU" w:cs="Arial"/>
          <w:color w:val="000000" w:themeColor="text1"/>
          <w:sz w:val="22"/>
          <w:lang w:val="en-US" w:eastAsia="ja-JP"/>
        </w:rPr>
        <w:t>6</w:t>
      </w:r>
      <w:r w:rsidRPr="001A5974">
        <w:rPr>
          <w:lang w:val="en-US"/>
        </w:rPr>
        <w:tab/>
      </w:r>
      <w:r w:rsidR="005863F3" w:rsidRPr="005863F3">
        <w:rPr>
          <w:lang w:val="en-US"/>
        </w:rPr>
        <w:t>R4-</w:t>
      </w:r>
      <w:r w:rsidR="00383317">
        <w:rPr>
          <w:lang w:val="en-US"/>
        </w:rPr>
        <w:t>2</w:t>
      </w:r>
      <w:r w:rsidR="00AE5BBB">
        <w:rPr>
          <w:lang w:val="en-US"/>
        </w:rPr>
        <w:t>30</w:t>
      </w:r>
      <w:r w:rsidR="004B2496">
        <w:rPr>
          <w:lang w:val="en-US"/>
        </w:rPr>
        <w:t>1590</w:t>
      </w:r>
    </w:p>
    <w:p w14:paraId="65F55581" w14:textId="22CC4B44" w:rsidR="008A22CF" w:rsidRPr="00C0585F" w:rsidRDefault="00AE5BBB" w:rsidP="008A22CF">
      <w:pPr>
        <w:pStyle w:val="3GPPHeader"/>
        <w:rPr>
          <w:lang w:val="en-US"/>
        </w:rPr>
      </w:pPr>
      <w:r>
        <w:rPr>
          <w:lang w:val="en-US"/>
        </w:rPr>
        <w:t>Athens</w:t>
      </w:r>
      <w:r w:rsidR="00383317">
        <w:rPr>
          <w:lang w:val="en-US"/>
        </w:rPr>
        <w:t xml:space="preserve">, </w:t>
      </w:r>
      <w:r>
        <w:rPr>
          <w:lang w:val="en-US"/>
        </w:rPr>
        <w:t>Greece</w:t>
      </w:r>
      <w:r w:rsidR="00837AD9" w:rsidRPr="00C0585F">
        <w:rPr>
          <w:lang w:val="en-US"/>
        </w:rPr>
        <w:t xml:space="preserve">, </w:t>
      </w:r>
      <w:r>
        <w:rPr>
          <w:lang w:val="en-US"/>
        </w:rPr>
        <w:t>Feb</w:t>
      </w:r>
      <w:r w:rsidR="00837AD9" w:rsidRPr="00C0585F">
        <w:rPr>
          <w:lang w:val="en-US"/>
        </w:rPr>
        <w:t xml:space="preserve"> </w:t>
      </w:r>
      <w:r>
        <w:rPr>
          <w:lang w:val="en-US"/>
        </w:rPr>
        <w:t>2</w:t>
      </w:r>
      <w:r w:rsidR="00F21F9A">
        <w:rPr>
          <w:lang w:val="en-US"/>
        </w:rPr>
        <w:t>7</w:t>
      </w:r>
      <w:r w:rsidRPr="00AE5BBB">
        <w:rPr>
          <w:vertAlign w:val="superscript"/>
          <w:lang w:val="en-US"/>
        </w:rPr>
        <w:t>th</w:t>
      </w:r>
      <w:r>
        <w:rPr>
          <w:lang w:val="en-US"/>
        </w:rPr>
        <w:t xml:space="preserve"> </w:t>
      </w:r>
      <w:r w:rsidR="00DE3259" w:rsidRPr="00C0585F">
        <w:rPr>
          <w:lang w:val="en-US"/>
        </w:rPr>
        <w:t>–</w:t>
      </w:r>
      <w:r w:rsidR="002D322B" w:rsidRPr="00C0585F">
        <w:rPr>
          <w:lang w:val="en-US"/>
        </w:rPr>
        <w:t xml:space="preserve"> </w:t>
      </w:r>
      <w:r>
        <w:rPr>
          <w:lang w:val="en-US"/>
        </w:rPr>
        <w:t>March</w:t>
      </w:r>
      <w:r w:rsidR="002D322B" w:rsidRPr="00C0585F">
        <w:rPr>
          <w:lang w:val="en-US"/>
        </w:rPr>
        <w:t xml:space="preserve"> </w:t>
      </w:r>
      <w:r>
        <w:rPr>
          <w:lang w:val="en-US"/>
        </w:rPr>
        <w:t>3</w:t>
      </w:r>
      <w:r w:rsidRPr="00AE5BBB">
        <w:rPr>
          <w:vertAlign w:val="superscript"/>
          <w:lang w:val="en-US"/>
        </w:rPr>
        <w:t>rd</w:t>
      </w:r>
      <w:r w:rsidR="00837AD9" w:rsidRPr="00C0585F">
        <w:rPr>
          <w:lang w:val="en-US"/>
        </w:rPr>
        <w:t>, 202</w:t>
      </w:r>
      <w:r>
        <w:rPr>
          <w:lang w:val="en-US"/>
        </w:rPr>
        <w:t>3</w:t>
      </w:r>
    </w:p>
    <w:p w14:paraId="2D8C5D3B" w14:textId="77777777" w:rsidR="00837AD9" w:rsidRPr="00C0585F" w:rsidRDefault="00837AD9" w:rsidP="008A22CF">
      <w:pPr>
        <w:pStyle w:val="3GPPHeader"/>
        <w:rPr>
          <w:lang w:val="en-US"/>
        </w:rPr>
      </w:pPr>
    </w:p>
    <w:p w14:paraId="0FDE225D" w14:textId="280127AC" w:rsidR="008A22CF" w:rsidRPr="00A00C1C" w:rsidRDefault="008A22CF" w:rsidP="008A22CF">
      <w:pPr>
        <w:pStyle w:val="3GPPHeader"/>
        <w:rPr>
          <w:sz w:val="22"/>
          <w:lang w:val="en-US"/>
        </w:rPr>
      </w:pPr>
      <w:r w:rsidRPr="00A00C1C">
        <w:rPr>
          <w:sz w:val="22"/>
          <w:lang w:val="en-US"/>
        </w:rPr>
        <w:t>Agenda Item:</w:t>
      </w:r>
      <w:r w:rsidRPr="00A00C1C">
        <w:rPr>
          <w:sz w:val="22"/>
          <w:lang w:val="en-US"/>
        </w:rPr>
        <w:tab/>
      </w:r>
      <w:r w:rsidR="008952C2">
        <w:rPr>
          <w:sz w:val="22"/>
          <w:lang w:val="en-US"/>
        </w:rPr>
        <w:t>12.3</w:t>
      </w:r>
    </w:p>
    <w:p w14:paraId="57D8FDDC" w14:textId="4993D1F6" w:rsidR="008A22CF" w:rsidRPr="001A5974" w:rsidRDefault="008A22CF" w:rsidP="008A22CF">
      <w:pPr>
        <w:pStyle w:val="3GPPHeader"/>
        <w:rPr>
          <w:sz w:val="22"/>
          <w:lang w:val="en-US"/>
        </w:rPr>
      </w:pPr>
      <w:r w:rsidRPr="001A5974">
        <w:rPr>
          <w:sz w:val="22"/>
          <w:lang w:val="en-US"/>
        </w:rPr>
        <w:t>Source:</w:t>
      </w:r>
      <w:r w:rsidRPr="001A5974">
        <w:rPr>
          <w:sz w:val="22"/>
          <w:lang w:val="en-US"/>
        </w:rPr>
        <w:tab/>
      </w:r>
      <w:r w:rsidR="00837AD9" w:rsidRPr="00837AD9">
        <w:rPr>
          <w:sz w:val="22"/>
          <w:lang w:val="en-US"/>
        </w:rPr>
        <w:t>MediaTek Inc.</w:t>
      </w:r>
    </w:p>
    <w:p w14:paraId="3A8FC3FA" w14:textId="6861FF05" w:rsidR="008A22CF" w:rsidRPr="001A5974" w:rsidRDefault="008A22CF" w:rsidP="0060526C">
      <w:pPr>
        <w:pStyle w:val="3GPPHeader"/>
        <w:ind w:left="1701" w:hanging="1701"/>
        <w:rPr>
          <w:sz w:val="22"/>
          <w:lang w:val="en-US"/>
        </w:rPr>
      </w:pPr>
      <w:r w:rsidRPr="001A5974">
        <w:rPr>
          <w:sz w:val="22"/>
          <w:lang w:val="en-US"/>
        </w:rPr>
        <w:t>Title:</w:t>
      </w:r>
      <w:r w:rsidR="0060526C">
        <w:rPr>
          <w:sz w:val="22"/>
          <w:lang w:val="en-US"/>
        </w:rPr>
        <w:t xml:space="preserve"> </w:t>
      </w:r>
      <w:r w:rsidR="0060526C">
        <w:rPr>
          <w:sz w:val="22"/>
          <w:lang w:val="en-US"/>
        </w:rPr>
        <w:tab/>
      </w:r>
      <w:r w:rsidR="00E97306" w:rsidRPr="00E97306">
        <w:rPr>
          <w:sz w:val="22"/>
          <w:lang w:val="en-US"/>
        </w:rPr>
        <w:t>Further discussion on intra-band ENDC support capability</w:t>
      </w:r>
    </w:p>
    <w:p w14:paraId="385E2C9B" w14:textId="58E09217" w:rsidR="008A22CF" w:rsidRPr="001A5974" w:rsidRDefault="008A22CF" w:rsidP="008A22CF">
      <w:pPr>
        <w:pStyle w:val="3GPPHeader"/>
        <w:rPr>
          <w:sz w:val="22"/>
          <w:lang w:val="en-US"/>
        </w:rPr>
      </w:pPr>
      <w:r w:rsidRPr="001A5974">
        <w:rPr>
          <w:sz w:val="22"/>
          <w:lang w:val="en-US"/>
        </w:rPr>
        <w:t>Document for:</w:t>
      </w:r>
      <w:r w:rsidRPr="001A5974">
        <w:rPr>
          <w:sz w:val="22"/>
          <w:lang w:val="en-US"/>
        </w:rPr>
        <w:tab/>
      </w:r>
      <w:r w:rsidR="003D5273" w:rsidRPr="001A5974">
        <w:rPr>
          <w:sz w:val="22"/>
          <w:lang w:val="en-US"/>
        </w:rPr>
        <w:t>Discussion</w:t>
      </w:r>
      <w:r w:rsidR="003F5E8A">
        <w:rPr>
          <w:sz w:val="22"/>
          <w:lang w:val="en-US"/>
        </w:rPr>
        <w:t xml:space="preserve"> </w:t>
      </w:r>
    </w:p>
    <w:p w14:paraId="1DE8240F" w14:textId="32419FBE" w:rsidR="009B01F8" w:rsidRPr="00D41564" w:rsidRDefault="009B01F8" w:rsidP="003914AD">
      <w:pPr>
        <w:pStyle w:val="Heading1"/>
        <w:numPr>
          <w:ilvl w:val="0"/>
          <w:numId w:val="3"/>
        </w:numPr>
        <w:rPr>
          <w:lang w:val="en-US"/>
        </w:rPr>
      </w:pPr>
      <w:r w:rsidRPr="00D41564">
        <w:rPr>
          <w:lang w:val="en-US"/>
        </w:rPr>
        <w:t>Introduction</w:t>
      </w:r>
    </w:p>
    <w:p w14:paraId="274E511E" w14:textId="5FD72301" w:rsidR="00341740" w:rsidRDefault="00BC1AC0" w:rsidP="006D75DD">
      <w:pPr>
        <w:jc w:val="both"/>
        <w:rPr>
          <w:lang w:val="en-US"/>
        </w:rPr>
      </w:pPr>
      <w:bookmarkStart w:id="2" w:name="OLE_LINK13"/>
      <w:r>
        <w:rPr>
          <w:lang w:val="en-US"/>
        </w:rPr>
        <w:t>In RAN4#105, RAN4 continued the discussion on the intra-band ENDC support capability, and an LS to RAN2 was agreed</w:t>
      </w:r>
      <w:r w:rsidR="009D5923">
        <w:rPr>
          <w:lang w:val="en-US"/>
        </w:rPr>
        <w:t xml:space="preserve"> [1]</w:t>
      </w:r>
      <w:r>
        <w:rPr>
          <w:lang w:val="en-US"/>
        </w:rPr>
        <w:t>, where RAN4 confirmed to keep both Case 3 and Case 4 configurations, and there is no ambiguity from RAN4 perspective if UE indicates “both” for these two cases.</w:t>
      </w:r>
      <w:r w:rsidR="0041293D">
        <w:rPr>
          <w:lang w:val="en-US"/>
        </w:rPr>
        <w:t xml:space="preserve"> In addition to the LS, a WF was also agreed [2], where some issues are still open</w:t>
      </w:r>
      <w:r w:rsidR="00420993">
        <w:rPr>
          <w:lang w:val="en-US"/>
        </w:rPr>
        <w:t xml:space="preserve"> </w:t>
      </w:r>
      <w:r w:rsidR="00A75717">
        <w:rPr>
          <w:lang w:val="en-US"/>
        </w:rPr>
        <w:t>particularly</w:t>
      </w:r>
      <w:r w:rsidR="00420993">
        <w:rPr>
          <w:lang w:val="en-US"/>
        </w:rPr>
        <w:t xml:space="preserve"> related to how to place these cases in the current RAN4 specs</w:t>
      </w:r>
      <w:r w:rsidR="0041293D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006E7" w:rsidRPr="004B2496" w14:paraId="6ABD86AF" w14:textId="77777777" w:rsidTr="00A006E7">
        <w:tc>
          <w:tcPr>
            <w:tcW w:w="9629" w:type="dxa"/>
          </w:tcPr>
          <w:p w14:paraId="199200B3" w14:textId="77777777" w:rsidR="008D79B1" w:rsidRDefault="00420993" w:rsidP="0038490F">
            <w:pPr>
              <w:pStyle w:val="ListParagraph"/>
              <w:numPr>
                <w:ilvl w:val="0"/>
                <w:numId w:val="30"/>
              </w:numPr>
              <w:jc w:val="both"/>
              <w:rPr>
                <w:lang w:val="en-US"/>
              </w:rPr>
            </w:pPr>
            <w:r w:rsidRPr="00420993">
              <w:rPr>
                <w:lang w:val="en-US"/>
              </w:rPr>
              <w:t>Issue 1-1-2: Where Case 3 band combinations should be placed in the spec</w:t>
            </w:r>
          </w:p>
          <w:p w14:paraId="6AAF863B" w14:textId="5A1D2D11" w:rsidR="00420993" w:rsidRPr="00420993" w:rsidRDefault="00420993" w:rsidP="00420993">
            <w:pPr>
              <w:pStyle w:val="ListParagraph"/>
              <w:numPr>
                <w:ilvl w:val="0"/>
                <w:numId w:val="30"/>
              </w:numPr>
              <w:jc w:val="both"/>
              <w:rPr>
                <w:lang w:val="en-US"/>
              </w:rPr>
            </w:pPr>
            <w:r w:rsidRPr="00420993">
              <w:rPr>
                <w:lang w:val="en-US"/>
              </w:rPr>
              <w:t>Issue 1-1-3: For Case 3 DL DC_(n)48DA with UL DC_48A_n48A</w:t>
            </w:r>
          </w:p>
        </w:tc>
      </w:tr>
    </w:tbl>
    <w:p w14:paraId="304B4804" w14:textId="5B66D3F9" w:rsidR="00E92373" w:rsidRDefault="00E92373" w:rsidP="006D75DD">
      <w:pPr>
        <w:jc w:val="both"/>
        <w:rPr>
          <w:lang w:val="en-US"/>
        </w:rPr>
      </w:pPr>
    </w:p>
    <w:p w14:paraId="36F3D637" w14:textId="3E104F63" w:rsidR="009C5DD2" w:rsidRPr="000E2CCA" w:rsidRDefault="00A75717" w:rsidP="006D75DD">
      <w:pPr>
        <w:jc w:val="both"/>
        <w:rPr>
          <w:lang w:val="en-US"/>
        </w:rPr>
      </w:pPr>
      <w:r>
        <w:rPr>
          <w:lang w:val="en-US"/>
        </w:rPr>
        <w:t xml:space="preserve">In this contribution, we propose a solution to clearly associate the three-state </w:t>
      </w:r>
      <w:r w:rsidRPr="00B24672">
        <w:rPr>
          <w:i/>
          <w:iCs/>
          <w:lang w:val="en-US"/>
        </w:rPr>
        <w:t>intraBandENDC-Support {contiguous, non-contiguous, both}</w:t>
      </w:r>
      <w:r>
        <w:rPr>
          <w:lang w:val="en-US"/>
        </w:rPr>
        <w:t xml:space="preserve"> to RAN4 specs sub-clauses. </w:t>
      </w:r>
    </w:p>
    <w:bookmarkEnd w:id="2"/>
    <w:p w14:paraId="63B30870" w14:textId="67F4856D" w:rsidR="006913F6" w:rsidRDefault="006913F6" w:rsidP="003914AD">
      <w:pPr>
        <w:pStyle w:val="Heading1"/>
        <w:numPr>
          <w:ilvl w:val="0"/>
          <w:numId w:val="3"/>
        </w:numPr>
        <w:rPr>
          <w:lang w:val="en-US"/>
        </w:rPr>
      </w:pPr>
      <w:r w:rsidRPr="009011F0">
        <w:rPr>
          <w:lang w:val="en-US"/>
        </w:rPr>
        <w:t>Discussion</w:t>
      </w:r>
    </w:p>
    <w:p w14:paraId="2AAF9378" w14:textId="3B41AEFD" w:rsidR="009C6625" w:rsidRPr="00B24672" w:rsidRDefault="009C6625" w:rsidP="009C6625">
      <w:pPr>
        <w:pStyle w:val="Heading2"/>
        <w:rPr>
          <w:lang w:val="en-US"/>
        </w:rPr>
      </w:pPr>
      <w:r w:rsidRPr="00B24672">
        <w:rPr>
          <w:lang w:val="en-US"/>
        </w:rPr>
        <w:t xml:space="preserve">2.1 </w:t>
      </w:r>
      <w:r w:rsidR="00B24672" w:rsidRPr="00B24672">
        <w:rPr>
          <w:lang w:val="en-US"/>
        </w:rPr>
        <w:t>Intra-band EN-DC configuration</w:t>
      </w:r>
      <w:r w:rsidR="00B24672">
        <w:rPr>
          <w:lang w:val="en-US"/>
        </w:rPr>
        <w:t>s in RAN4 specs</w:t>
      </w:r>
    </w:p>
    <w:p w14:paraId="0B6BC1CF" w14:textId="7C41EBE4" w:rsidR="00292838" w:rsidRDefault="00A75717" w:rsidP="00932D17">
      <w:pPr>
        <w:jc w:val="both"/>
        <w:rPr>
          <w:lang w:val="en-US"/>
        </w:rPr>
      </w:pPr>
      <w:r>
        <w:rPr>
          <w:lang w:val="en-US"/>
        </w:rPr>
        <w:t xml:space="preserve">In our understanding, it should usually have clear meaning “both” for a UE capability. Regarding intra-band EN-DC support capability, ideally “contiguous” means support of configurations, labelled as Config#1, only in contiguous spectrum, and “non-contiguous” means support of configurations, labelled as Config#2, only in non-contiguous spectrum, and “both” means support of both Config#1 and Config#2. </w:t>
      </w:r>
      <w:r w:rsidR="00292838">
        <w:rPr>
          <w:lang w:val="en-US"/>
        </w:rPr>
        <w:t xml:space="preserve">And this is </w:t>
      </w:r>
      <w:r w:rsidR="00AE2AF9">
        <w:rPr>
          <w:lang w:val="en-US"/>
        </w:rPr>
        <w:t>aligned</w:t>
      </w:r>
      <w:r w:rsidR="00292838">
        <w:rPr>
          <w:lang w:val="en-US"/>
        </w:rPr>
        <w:t xml:space="preserve"> with RAN2 specs</w:t>
      </w:r>
      <w:r w:rsidR="001C68B2">
        <w:rPr>
          <w:lang w:val="en-US"/>
        </w:rPr>
        <w:t xml:space="preserve"> [3]</w:t>
      </w:r>
      <w:r w:rsidR="00292838">
        <w:rPr>
          <w:lang w:val="en-US"/>
        </w:rPr>
        <w:t>: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292838" w:rsidRPr="00B11372" w14:paraId="4C2514F7" w14:textId="77777777" w:rsidTr="00FF1CAF">
        <w:trPr>
          <w:cantSplit/>
          <w:tblHeader/>
        </w:trPr>
        <w:tc>
          <w:tcPr>
            <w:tcW w:w="6917" w:type="dxa"/>
          </w:tcPr>
          <w:p w14:paraId="07C810A6" w14:textId="77777777" w:rsidR="00292838" w:rsidRPr="00292838" w:rsidRDefault="00292838" w:rsidP="00FF1CAF">
            <w:pPr>
              <w:pStyle w:val="TAL"/>
              <w:rPr>
                <w:b/>
                <w:bCs/>
                <w:i/>
                <w:iCs/>
                <w:lang w:val="en-US"/>
              </w:rPr>
            </w:pPr>
            <w:r w:rsidRPr="00292838">
              <w:rPr>
                <w:b/>
                <w:bCs/>
                <w:i/>
                <w:iCs/>
                <w:lang w:val="en-US"/>
              </w:rPr>
              <w:t>intraBandENDC-Support</w:t>
            </w:r>
          </w:p>
          <w:p w14:paraId="21337564" w14:textId="77777777" w:rsidR="00292838" w:rsidRPr="00292838" w:rsidRDefault="00292838" w:rsidP="00FF1CAF">
            <w:pPr>
              <w:pStyle w:val="TAL"/>
              <w:rPr>
                <w:bCs/>
                <w:iCs/>
                <w:lang w:val="en-US"/>
              </w:rPr>
            </w:pPr>
            <w:r w:rsidRPr="00292838">
              <w:rPr>
                <w:bCs/>
                <w:iCs/>
                <w:lang w:val="en-US"/>
              </w:rPr>
              <w:t xml:space="preserve">Indicates whether the UE supports intra-band </w:t>
            </w:r>
            <w:r w:rsidRPr="00292838">
              <w:rPr>
                <w:lang w:val="en-US"/>
              </w:rPr>
              <w:t>(NG)</w:t>
            </w:r>
            <w:r w:rsidRPr="00292838">
              <w:rPr>
                <w:bCs/>
                <w:iCs/>
                <w:lang w:val="en-US"/>
              </w:rPr>
              <w:t xml:space="preserve">EN-DC with </w:t>
            </w:r>
            <w:r w:rsidRPr="00292838">
              <w:rPr>
                <w:bCs/>
                <w:iCs/>
                <w:highlight w:val="yellow"/>
                <w:lang w:val="en-US"/>
              </w:rPr>
              <w:t>only non-contiguous spectrum</w:t>
            </w:r>
            <w:r w:rsidRPr="00292838">
              <w:rPr>
                <w:bCs/>
                <w:iCs/>
                <w:lang w:val="en-US"/>
              </w:rPr>
              <w:t xml:space="preserve">, or with both contiguous and non-contiguous spectrum for the </w:t>
            </w:r>
            <w:r w:rsidRPr="00292838">
              <w:rPr>
                <w:lang w:val="en-US"/>
              </w:rPr>
              <w:t>(NG)</w:t>
            </w:r>
            <w:r w:rsidRPr="00292838">
              <w:rPr>
                <w:bCs/>
                <w:iCs/>
                <w:lang w:val="en-US"/>
              </w:rPr>
              <w:t>EN-DC combination as specified in TS 38.101-3 [4].</w:t>
            </w:r>
          </w:p>
          <w:p w14:paraId="4E2B42F0" w14:textId="77777777" w:rsidR="00292838" w:rsidRPr="00292838" w:rsidRDefault="00292838" w:rsidP="00FF1CAF">
            <w:pPr>
              <w:pStyle w:val="TAL"/>
              <w:rPr>
                <w:b/>
                <w:bCs/>
                <w:i/>
                <w:iCs/>
                <w:lang w:val="en-US"/>
              </w:rPr>
            </w:pPr>
            <w:r w:rsidRPr="00292838">
              <w:rPr>
                <w:bCs/>
                <w:iCs/>
                <w:lang w:val="en-US"/>
              </w:rPr>
              <w:t xml:space="preserve">If the UE does not include this field for an intra-band </w:t>
            </w:r>
            <w:r w:rsidRPr="00292838">
              <w:rPr>
                <w:lang w:val="en-US"/>
              </w:rPr>
              <w:t>(NG)</w:t>
            </w:r>
            <w:r w:rsidRPr="00292838">
              <w:rPr>
                <w:bCs/>
                <w:iCs/>
                <w:lang w:val="en-US"/>
              </w:rPr>
              <w:t xml:space="preserve">EN-DC combination the UE </w:t>
            </w:r>
            <w:r w:rsidRPr="00292838">
              <w:rPr>
                <w:bCs/>
                <w:iCs/>
                <w:highlight w:val="yellow"/>
                <w:lang w:val="en-US"/>
              </w:rPr>
              <w:t>only supports the contiguous spectrum</w:t>
            </w:r>
            <w:r w:rsidRPr="00292838">
              <w:rPr>
                <w:bCs/>
                <w:iCs/>
                <w:lang w:val="en-US"/>
              </w:rPr>
              <w:t xml:space="preserve"> for the intra-band </w:t>
            </w:r>
            <w:r w:rsidRPr="00292838">
              <w:rPr>
                <w:lang w:val="en-US"/>
              </w:rPr>
              <w:t>(NG)</w:t>
            </w:r>
            <w:r w:rsidRPr="00292838">
              <w:rPr>
                <w:bCs/>
                <w:iCs/>
                <w:lang w:val="en-US"/>
              </w:rPr>
              <w:t>EN-DC combination.</w:t>
            </w:r>
          </w:p>
        </w:tc>
        <w:tc>
          <w:tcPr>
            <w:tcW w:w="709" w:type="dxa"/>
          </w:tcPr>
          <w:p w14:paraId="6CB3C135" w14:textId="77777777" w:rsidR="00292838" w:rsidRPr="00B11372" w:rsidRDefault="00292838" w:rsidP="00FF1CAF">
            <w:pPr>
              <w:pStyle w:val="TAL"/>
              <w:jc w:val="center"/>
              <w:rPr>
                <w:bCs/>
                <w:iCs/>
              </w:rPr>
            </w:pPr>
            <w:r w:rsidRPr="00B11372">
              <w:t>BC</w:t>
            </w:r>
          </w:p>
        </w:tc>
        <w:tc>
          <w:tcPr>
            <w:tcW w:w="567" w:type="dxa"/>
          </w:tcPr>
          <w:p w14:paraId="47080E28" w14:textId="77777777" w:rsidR="00292838" w:rsidRPr="00B11372" w:rsidRDefault="00292838" w:rsidP="00FF1CAF">
            <w:pPr>
              <w:pStyle w:val="TAL"/>
              <w:jc w:val="center"/>
              <w:rPr>
                <w:bCs/>
                <w:iCs/>
              </w:rPr>
            </w:pPr>
            <w:r w:rsidRPr="00B11372">
              <w:t>No</w:t>
            </w:r>
          </w:p>
        </w:tc>
        <w:tc>
          <w:tcPr>
            <w:tcW w:w="709" w:type="dxa"/>
          </w:tcPr>
          <w:p w14:paraId="1B13F0C5" w14:textId="77777777" w:rsidR="00292838" w:rsidRPr="00B11372" w:rsidRDefault="00292838" w:rsidP="00FF1CAF">
            <w:pPr>
              <w:pStyle w:val="TAL"/>
              <w:jc w:val="center"/>
              <w:rPr>
                <w:bCs/>
                <w:iCs/>
              </w:rPr>
            </w:pPr>
            <w:r w:rsidRPr="00B11372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708800B" w14:textId="77777777" w:rsidR="00292838" w:rsidRPr="00B11372" w:rsidRDefault="00292838" w:rsidP="00FF1CAF">
            <w:pPr>
              <w:pStyle w:val="TAL"/>
              <w:jc w:val="center"/>
            </w:pPr>
            <w:r w:rsidRPr="00B11372">
              <w:rPr>
                <w:bCs/>
                <w:iCs/>
              </w:rPr>
              <w:t>N/A</w:t>
            </w:r>
          </w:p>
        </w:tc>
      </w:tr>
    </w:tbl>
    <w:p w14:paraId="792899C5" w14:textId="64D86980" w:rsidR="00292838" w:rsidRDefault="00292838" w:rsidP="00932D17">
      <w:pPr>
        <w:jc w:val="both"/>
        <w:rPr>
          <w:lang w:val="en-US"/>
        </w:rPr>
      </w:pPr>
    </w:p>
    <w:p w14:paraId="5D5440E5" w14:textId="589AF12F" w:rsidR="00AE2AF9" w:rsidRDefault="00AE2AF9" w:rsidP="00932D17">
      <w:pPr>
        <w:jc w:val="both"/>
        <w:rPr>
          <w:lang w:val="en-US"/>
        </w:rPr>
      </w:pPr>
      <w:r>
        <w:rPr>
          <w:lang w:val="en-US"/>
        </w:rPr>
        <w:t xml:space="preserve">Furthermore, the UE capability </w:t>
      </w:r>
      <w:r w:rsidRPr="00292838">
        <w:rPr>
          <w:i/>
          <w:iCs/>
          <w:lang w:val="en-US"/>
        </w:rPr>
        <w:t>intraBandENDC-Support</w:t>
      </w:r>
      <w:r>
        <w:rPr>
          <w:lang w:val="en-US"/>
        </w:rPr>
        <w:t xml:space="preserve"> does not differentiate UL and DL, which means the contiguity of both UL and DL is implicitly assumed to be the same.</w:t>
      </w:r>
    </w:p>
    <w:p w14:paraId="4B238F6F" w14:textId="3D28E85F" w:rsidR="00AE2AF9" w:rsidRDefault="00AE2AF9" w:rsidP="00932D17">
      <w:pPr>
        <w:jc w:val="both"/>
        <w:rPr>
          <w:b/>
          <w:bCs/>
          <w:lang w:val="en-US"/>
        </w:rPr>
      </w:pPr>
      <w:r w:rsidRPr="00AE2AF9">
        <w:rPr>
          <w:b/>
          <w:bCs/>
          <w:lang w:val="en-US"/>
        </w:rPr>
        <w:lastRenderedPageBreak/>
        <w:t xml:space="preserve">Observation 1: </w:t>
      </w:r>
      <w:r>
        <w:rPr>
          <w:b/>
          <w:bCs/>
          <w:lang w:val="en-US"/>
        </w:rPr>
        <w:t>In the current RAN2 specs, the IE “</w:t>
      </w:r>
      <w:r w:rsidRPr="00AE2AF9">
        <w:rPr>
          <w:b/>
          <w:bCs/>
          <w:i/>
          <w:iCs/>
          <w:lang w:val="en-US"/>
        </w:rPr>
        <w:t>intraBandENDC-Support</w:t>
      </w:r>
      <w:r>
        <w:rPr>
          <w:b/>
          <w:bCs/>
          <w:lang w:val="en-US"/>
        </w:rPr>
        <w:t>” does not differentiate UL and DL</w:t>
      </w:r>
      <w:r w:rsidR="00603994">
        <w:rPr>
          <w:b/>
          <w:bCs/>
          <w:lang w:val="en-US"/>
        </w:rPr>
        <w:t>,</w:t>
      </w:r>
      <w:r>
        <w:rPr>
          <w:b/>
          <w:bCs/>
          <w:lang w:val="en-US"/>
        </w:rPr>
        <w:t xml:space="preserve"> therefore implies the same spectrum contiguity of both UL and DL.</w:t>
      </w:r>
    </w:p>
    <w:p w14:paraId="65674DDD" w14:textId="0621718C" w:rsidR="00A36FB9" w:rsidRPr="00AE2AF9" w:rsidRDefault="00A36FB9" w:rsidP="00932D17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 xml:space="preserve">Observation 2: </w:t>
      </w:r>
      <w:r w:rsidR="00480F3E">
        <w:rPr>
          <w:b/>
          <w:bCs/>
          <w:lang w:val="en-US"/>
        </w:rPr>
        <w:t>The value “</w:t>
      </w:r>
      <w:r w:rsidR="00480F3E" w:rsidRPr="00480F3E">
        <w:rPr>
          <w:b/>
          <w:bCs/>
          <w:i/>
          <w:iCs/>
          <w:lang w:val="en-US"/>
        </w:rPr>
        <w:t>contiguous</w:t>
      </w:r>
      <w:r w:rsidR="00480F3E">
        <w:rPr>
          <w:b/>
          <w:bCs/>
          <w:lang w:val="en-US"/>
        </w:rPr>
        <w:t>” indicated in the IE “</w:t>
      </w:r>
      <w:r w:rsidR="00480F3E" w:rsidRPr="00AE2AF9">
        <w:rPr>
          <w:b/>
          <w:bCs/>
          <w:i/>
          <w:iCs/>
          <w:lang w:val="en-US"/>
        </w:rPr>
        <w:t>intraBandENDC-Support</w:t>
      </w:r>
      <w:r w:rsidR="00480F3E">
        <w:rPr>
          <w:b/>
          <w:bCs/>
          <w:lang w:val="en-US"/>
        </w:rPr>
        <w:t>” refers to a set of configurations, labelled as Config#1, where only contiguous spectrum is assumed at both UL and DL. And the value “</w:t>
      </w:r>
      <w:r w:rsidR="00480F3E" w:rsidRPr="00480F3E">
        <w:rPr>
          <w:b/>
          <w:bCs/>
          <w:i/>
          <w:iCs/>
          <w:lang w:val="en-US"/>
        </w:rPr>
        <w:t>non-contiguous</w:t>
      </w:r>
      <w:r w:rsidR="00480F3E">
        <w:rPr>
          <w:b/>
          <w:bCs/>
          <w:lang w:val="en-US"/>
        </w:rPr>
        <w:t>” refers to another set of configurations, labelled as Config#2, where only non-contiguous spectrum is assumed at both UL and DL. And the value “</w:t>
      </w:r>
      <w:r w:rsidR="00480F3E" w:rsidRPr="00480F3E">
        <w:rPr>
          <w:b/>
          <w:bCs/>
          <w:i/>
          <w:iCs/>
          <w:lang w:val="en-US"/>
        </w:rPr>
        <w:t>both</w:t>
      </w:r>
      <w:r w:rsidR="00480F3E">
        <w:rPr>
          <w:b/>
          <w:bCs/>
          <w:lang w:val="en-US"/>
        </w:rPr>
        <w:t xml:space="preserve">” means the support of both Config#1 and Config#2. </w:t>
      </w:r>
    </w:p>
    <w:p w14:paraId="2FB44283" w14:textId="4772E4F2" w:rsidR="00480F3E" w:rsidRDefault="00D4673E" w:rsidP="00932D17">
      <w:pPr>
        <w:jc w:val="both"/>
        <w:rPr>
          <w:lang w:val="en-US"/>
        </w:rPr>
      </w:pPr>
      <w:r>
        <w:rPr>
          <w:lang w:val="en-US"/>
        </w:rPr>
        <w:t xml:space="preserve">However, </w:t>
      </w:r>
      <w:r w:rsidR="00A36FB9">
        <w:rPr>
          <w:lang w:val="en-US"/>
        </w:rPr>
        <w:t xml:space="preserve">RAN4 introduces some </w:t>
      </w:r>
      <w:r w:rsidR="00292838">
        <w:rPr>
          <w:lang w:val="en-US"/>
        </w:rPr>
        <w:t>cases where UL and DL have different intra-band contiguity, i.e., mixed cases</w:t>
      </w:r>
      <w:r w:rsidR="001A3491">
        <w:rPr>
          <w:lang w:val="en-US"/>
        </w:rPr>
        <w:t>, labelled as Config#3</w:t>
      </w:r>
      <w:r w:rsidR="00A36FB9">
        <w:rPr>
          <w:lang w:val="en-US"/>
        </w:rPr>
        <w:t xml:space="preserve">. </w:t>
      </w:r>
      <w:r w:rsidR="00480F3E">
        <w:rPr>
          <w:lang w:val="en-US"/>
        </w:rPr>
        <w:t xml:space="preserve">For example, </w:t>
      </w:r>
      <w:r w:rsidR="00A36FB9">
        <w:rPr>
          <w:lang w:val="en-US"/>
        </w:rPr>
        <w:t>Case 3 and Case 4</w:t>
      </w:r>
      <w:r w:rsidR="00480F3E">
        <w:rPr>
          <w:lang w:val="en-US"/>
        </w:rPr>
        <w:t xml:space="preserve"> are shown</w:t>
      </w:r>
      <w:r w:rsidR="00194088">
        <w:rPr>
          <w:lang w:val="en-US"/>
        </w:rPr>
        <w:t xml:space="preserve"> in below figure</w:t>
      </w:r>
      <w:r w:rsidR="00480F3E">
        <w:rPr>
          <w:lang w:val="en-US"/>
        </w:rPr>
        <w:t>:</w:t>
      </w:r>
    </w:p>
    <w:p w14:paraId="0BEA171E" w14:textId="6D89FE8E" w:rsidR="00480F3E" w:rsidRDefault="00194088" w:rsidP="00194088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783BBBD6" wp14:editId="2660E04F">
            <wp:extent cx="3026793" cy="4803775"/>
            <wp:effectExtent l="0" t="0" r="2540" b="0"/>
            <wp:docPr id="1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&#10;&#10;Description automatically generated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9896" cy="4824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F76ED7" w14:textId="72FEA778" w:rsidR="00194088" w:rsidRDefault="00194088" w:rsidP="00194088">
      <w:pPr>
        <w:jc w:val="center"/>
        <w:rPr>
          <w:lang w:val="en-US"/>
        </w:rPr>
      </w:pPr>
      <w:r>
        <w:rPr>
          <w:lang w:val="en-US"/>
        </w:rPr>
        <w:t>Fig. 1, Case 3 and Case 4 where UL and DL has different contiguity</w:t>
      </w:r>
    </w:p>
    <w:p w14:paraId="242AFACD" w14:textId="7F441761" w:rsidR="006811B5" w:rsidRPr="00C0585F" w:rsidRDefault="00FA3F29" w:rsidP="00932D17">
      <w:pPr>
        <w:jc w:val="both"/>
        <w:rPr>
          <w:bCs/>
          <w:lang w:val="en-US"/>
        </w:rPr>
      </w:pPr>
      <w:r>
        <w:rPr>
          <w:bCs/>
          <w:lang w:val="en-US"/>
        </w:rPr>
        <w:t xml:space="preserve">Although in RAN4’s perspective </w:t>
      </w:r>
      <w:r w:rsidR="004178E8">
        <w:rPr>
          <w:bCs/>
          <w:lang w:val="en-US"/>
        </w:rPr>
        <w:t>“both” can be indicated for these mixed cases without ambiguity, it is actually asking for extending its meaning.</w:t>
      </w:r>
    </w:p>
    <w:p w14:paraId="15D55AAA" w14:textId="205ECD39" w:rsidR="006811B5" w:rsidRDefault="004178E8" w:rsidP="00932D17">
      <w:pPr>
        <w:jc w:val="both"/>
        <w:rPr>
          <w:b/>
          <w:lang w:val="en-US"/>
        </w:rPr>
      </w:pPr>
      <w:bookmarkStart w:id="3" w:name="OLE_LINK1"/>
      <w:bookmarkStart w:id="4" w:name="OLE_LINK7"/>
      <w:r>
        <w:rPr>
          <w:b/>
          <w:lang w:val="en-US"/>
        </w:rPr>
        <w:t>Observation 3</w:t>
      </w:r>
      <w:r w:rsidR="00BF7AF9">
        <w:rPr>
          <w:b/>
          <w:lang w:val="en-US"/>
        </w:rPr>
        <w:t>:</w:t>
      </w:r>
      <w:r w:rsidR="006A78FE">
        <w:rPr>
          <w:b/>
          <w:lang w:val="en-US"/>
        </w:rPr>
        <w:t xml:space="preserve"> </w:t>
      </w:r>
      <w:r>
        <w:rPr>
          <w:b/>
          <w:lang w:val="en-US"/>
        </w:rPr>
        <w:t xml:space="preserve">With the RAN4 agreement that </w:t>
      </w:r>
      <w:bookmarkEnd w:id="3"/>
      <w:r>
        <w:rPr>
          <w:b/>
          <w:lang w:val="en-US"/>
        </w:rPr>
        <w:t>“both” can be used for indicating the support of Case 3 and Case 4, RAN4 is actually extending the meaning of “both”</w:t>
      </w:r>
      <w:r w:rsidR="006A78FE">
        <w:rPr>
          <w:b/>
          <w:lang w:val="en-US"/>
        </w:rPr>
        <w:t>.</w:t>
      </w:r>
    </w:p>
    <w:bookmarkEnd w:id="4"/>
    <w:p w14:paraId="6DF7C6DA" w14:textId="6334731F" w:rsidR="00EB7204" w:rsidRPr="00162A02" w:rsidRDefault="00162A02" w:rsidP="00162A02">
      <w:pPr>
        <w:pStyle w:val="Heading2"/>
      </w:pPr>
      <w:r>
        <w:t xml:space="preserve">2.2 </w:t>
      </w:r>
      <w:r w:rsidR="00FA3F29">
        <w:t>Specification of mixed cases in RAN4 specs</w:t>
      </w:r>
    </w:p>
    <w:p w14:paraId="3F028641" w14:textId="2F92CEE7" w:rsidR="001A3491" w:rsidRDefault="001A3491" w:rsidP="00932D17">
      <w:pPr>
        <w:jc w:val="both"/>
        <w:rPr>
          <w:bCs/>
          <w:lang w:val="en-US"/>
        </w:rPr>
      </w:pPr>
      <w:r>
        <w:rPr>
          <w:bCs/>
          <w:lang w:val="en-US"/>
        </w:rPr>
        <w:t xml:space="preserve">As analyzed in the previous sub-section, </w:t>
      </w:r>
      <w:r w:rsidR="001E5E19">
        <w:rPr>
          <w:bCs/>
          <w:lang w:val="en-US"/>
        </w:rPr>
        <w:t xml:space="preserve">all of </w:t>
      </w:r>
      <w:r>
        <w:rPr>
          <w:bCs/>
          <w:lang w:val="en-US"/>
        </w:rPr>
        <w:t>the</w:t>
      </w:r>
      <w:r w:rsidR="001E5E19">
        <w:rPr>
          <w:bCs/>
          <w:lang w:val="en-US"/>
        </w:rPr>
        <w:t xml:space="preserve"> following</w:t>
      </w:r>
      <w:r>
        <w:rPr>
          <w:bCs/>
          <w:lang w:val="en-US"/>
        </w:rPr>
        <w:t xml:space="preserve"> configurations are supported in RAN4’s perspective if “both” is reported for intra-band EN-DC:</w:t>
      </w:r>
    </w:p>
    <w:p w14:paraId="2AA5C2C7" w14:textId="43E08A64" w:rsidR="001A3491" w:rsidRDefault="001A3491" w:rsidP="001A3491">
      <w:pPr>
        <w:pStyle w:val="ListParagraph"/>
        <w:numPr>
          <w:ilvl w:val="0"/>
          <w:numId w:val="31"/>
        </w:numPr>
        <w:jc w:val="both"/>
        <w:rPr>
          <w:bCs/>
          <w:lang w:val="en-US"/>
        </w:rPr>
      </w:pPr>
      <w:r>
        <w:rPr>
          <w:bCs/>
          <w:lang w:val="en-US"/>
        </w:rPr>
        <w:lastRenderedPageBreak/>
        <w:t>Config#1: the configuration</w:t>
      </w:r>
      <w:r w:rsidR="00B9350F">
        <w:rPr>
          <w:bCs/>
          <w:lang w:val="en-US"/>
        </w:rPr>
        <w:t xml:space="preserve"> set</w:t>
      </w:r>
      <w:r>
        <w:rPr>
          <w:bCs/>
          <w:lang w:val="en-US"/>
        </w:rPr>
        <w:t xml:space="preserve"> where both UL and DL are operated in a contiguous spectrum</w:t>
      </w:r>
    </w:p>
    <w:p w14:paraId="26378246" w14:textId="1DF6337C" w:rsidR="001A3491" w:rsidRDefault="001A3491" w:rsidP="001A3491">
      <w:pPr>
        <w:pStyle w:val="ListParagraph"/>
        <w:numPr>
          <w:ilvl w:val="0"/>
          <w:numId w:val="31"/>
        </w:numPr>
        <w:jc w:val="both"/>
        <w:rPr>
          <w:bCs/>
          <w:lang w:val="en-US"/>
        </w:rPr>
      </w:pPr>
      <w:r>
        <w:rPr>
          <w:bCs/>
          <w:lang w:val="en-US"/>
        </w:rPr>
        <w:t>Config#2: the configuration</w:t>
      </w:r>
      <w:r w:rsidR="00B9350F">
        <w:rPr>
          <w:bCs/>
          <w:lang w:val="en-US"/>
        </w:rPr>
        <w:t xml:space="preserve"> set</w:t>
      </w:r>
      <w:r>
        <w:rPr>
          <w:bCs/>
          <w:lang w:val="en-US"/>
        </w:rPr>
        <w:t xml:space="preserve"> where both UL and DL are operated in a non-contiguous spectrum</w:t>
      </w:r>
    </w:p>
    <w:p w14:paraId="78FB5F68" w14:textId="694EB6D7" w:rsidR="001A3491" w:rsidRPr="001A3491" w:rsidRDefault="001A3491" w:rsidP="001A3491">
      <w:pPr>
        <w:pStyle w:val="ListParagraph"/>
        <w:numPr>
          <w:ilvl w:val="0"/>
          <w:numId w:val="31"/>
        </w:numPr>
        <w:jc w:val="both"/>
        <w:rPr>
          <w:bCs/>
          <w:lang w:val="en-US"/>
        </w:rPr>
      </w:pPr>
      <w:r>
        <w:rPr>
          <w:bCs/>
          <w:lang w:val="en-US"/>
        </w:rPr>
        <w:t xml:space="preserve">Config#3: </w:t>
      </w:r>
      <w:r w:rsidR="00B9350F">
        <w:rPr>
          <w:bCs/>
          <w:lang w:val="en-US"/>
        </w:rPr>
        <w:t xml:space="preserve">the configuration set </w:t>
      </w:r>
      <w:r>
        <w:rPr>
          <w:bCs/>
          <w:lang w:val="en-US"/>
        </w:rPr>
        <w:t>where UL and DL has different contiguity</w:t>
      </w:r>
    </w:p>
    <w:p w14:paraId="49E8EA6E" w14:textId="77777777" w:rsidR="00016296" w:rsidRDefault="007725FB" w:rsidP="00932D17">
      <w:pPr>
        <w:jc w:val="both"/>
        <w:rPr>
          <w:bCs/>
          <w:lang w:val="en-US"/>
        </w:rPr>
      </w:pPr>
      <w:r>
        <w:rPr>
          <w:bCs/>
          <w:lang w:val="en-US"/>
        </w:rPr>
        <w:t>Obviously, it would be clear if RAN4 specifies these three configurations separately in different subclauses, where Config#1 is specified where both UL and DL has contiguous spectrum, and Config#2 is specified where both UL and DL has non-contiguous spectrum, and Config#3 is specified where UL and DL has different contiguity. Therefore, we propose to add a new sub-clause, where Config#3 is specified.</w:t>
      </w:r>
      <w:r w:rsidR="00016296">
        <w:rPr>
          <w:bCs/>
          <w:lang w:val="en-US"/>
        </w:rPr>
        <w:t xml:space="preserve"> In such a way, the reporting of intra-band ENDC capability would become concise.</w:t>
      </w:r>
      <w:r>
        <w:rPr>
          <w:bCs/>
          <w:lang w:val="en-US"/>
        </w:rPr>
        <w:t xml:space="preserve"> </w:t>
      </w:r>
    </w:p>
    <w:p w14:paraId="366C6B33" w14:textId="4BBDC2D9" w:rsidR="00960587" w:rsidRDefault="007725FB" w:rsidP="00932D17">
      <w:pPr>
        <w:jc w:val="both"/>
        <w:rPr>
          <w:bCs/>
          <w:lang w:val="en-US"/>
        </w:rPr>
      </w:pPr>
      <w:r>
        <w:rPr>
          <w:bCs/>
          <w:lang w:val="en-US"/>
        </w:rPr>
        <w:t xml:space="preserve">The corresponding CR is shown in our companion CR [4]. </w:t>
      </w:r>
      <w:r w:rsidR="00960587">
        <w:rPr>
          <w:bCs/>
          <w:lang w:val="en-US"/>
        </w:rPr>
        <w:t xml:space="preserve"> </w:t>
      </w:r>
    </w:p>
    <w:p w14:paraId="0FDDF43F" w14:textId="3C5B8724" w:rsidR="00960587" w:rsidRDefault="00B57FC7" w:rsidP="00932D17">
      <w:pPr>
        <w:jc w:val="both"/>
        <w:rPr>
          <w:b/>
          <w:lang w:val="en-US"/>
        </w:rPr>
      </w:pPr>
      <w:bookmarkStart w:id="5" w:name="OLE_LINK2"/>
      <w:r>
        <w:rPr>
          <w:b/>
          <w:lang w:val="en-US"/>
        </w:rPr>
        <w:t>Proposal</w:t>
      </w:r>
      <w:r w:rsidR="009D22BA">
        <w:rPr>
          <w:b/>
          <w:lang w:val="en-US"/>
        </w:rPr>
        <w:t xml:space="preserve"> 1</w:t>
      </w:r>
      <w:r>
        <w:rPr>
          <w:b/>
          <w:lang w:val="en-US"/>
        </w:rPr>
        <w:t xml:space="preserve">: </w:t>
      </w:r>
      <w:r w:rsidR="00016296">
        <w:rPr>
          <w:b/>
          <w:lang w:val="en-US"/>
        </w:rPr>
        <w:t>RAN4 to specify</w:t>
      </w:r>
      <w:r w:rsidR="00B9350F">
        <w:rPr>
          <w:b/>
          <w:lang w:val="en-US"/>
        </w:rPr>
        <w:t xml:space="preserve"> </w:t>
      </w:r>
      <w:r w:rsidR="00016296">
        <w:rPr>
          <w:b/>
          <w:lang w:val="en-US"/>
        </w:rPr>
        <w:t>Config#1 (both UL and DL has contiguous spectrum), Config#2 (both UL and DL has non-contiguous spectrum) and Config#3 (UL and DL has different contiguity) in different sub-clauses corresponding to different values reported in intraBandENDC-Support.</w:t>
      </w:r>
    </w:p>
    <w:p w14:paraId="1E5C5097" w14:textId="27D5B54C" w:rsidR="009D22BA" w:rsidRPr="009D22BA" w:rsidRDefault="009D22BA" w:rsidP="009D22BA">
      <w:pPr>
        <w:pStyle w:val="Heading2"/>
      </w:pPr>
      <w:r w:rsidRPr="009D22BA">
        <w:t>2.</w:t>
      </w:r>
      <w:r>
        <w:t>3</w:t>
      </w:r>
      <w:r w:rsidRPr="009D22BA">
        <w:t xml:space="preserve"> </w:t>
      </w:r>
      <w:r>
        <w:t>Fallbacks</w:t>
      </w:r>
    </w:p>
    <w:p w14:paraId="535C3A3C" w14:textId="164C7D51" w:rsidR="009D22BA" w:rsidRDefault="009D22BA" w:rsidP="00932D17">
      <w:pPr>
        <w:jc w:val="both"/>
        <w:rPr>
          <w:bCs/>
          <w:lang w:val="en-US"/>
        </w:rPr>
      </w:pPr>
      <w:r>
        <w:rPr>
          <w:bCs/>
          <w:lang w:val="en-US"/>
        </w:rPr>
        <w:t>For a lower order fallback, the same rule applies, i.e., check which of the config set {Config#1, Config#2, Config#3} the fallback belongs to,</w:t>
      </w:r>
      <w:r w:rsidR="00BD1668">
        <w:rPr>
          <w:bCs/>
          <w:lang w:val="en-US"/>
        </w:rPr>
        <w:t xml:space="preserve"> and whether it is supported depends on the corresponding capability. For the example </w:t>
      </w:r>
      <w:r w:rsidR="00684F27">
        <w:rPr>
          <w:bCs/>
          <w:lang w:val="en-US"/>
        </w:rPr>
        <w:t xml:space="preserve">band </w:t>
      </w:r>
      <w:r w:rsidR="00526153">
        <w:rPr>
          <w:bCs/>
          <w:lang w:val="en-US"/>
        </w:rPr>
        <w:t xml:space="preserve">combination </w:t>
      </w:r>
      <w:bookmarkStart w:id="6" w:name="_Hlk124428341"/>
      <w:r w:rsidR="00526153">
        <w:rPr>
          <w:bCs/>
          <w:lang w:val="en-US"/>
        </w:rPr>
        <w:t>DL: DC_(n)48DA / UL: DC_48A_n48A</w:t>
      </w:r>
      <w:bookmarkEnd w:id="6"/>
      <w:r w:rsidR="00526153">
        <w:rPr>
          <w:bCs/>
          <w:lang w:val="en-US"/>
        </w:rPr>
        <w:t xml:space="preserve"> </w:t>
      </w:r>
      <w:r w:rsidR="00BD1668">
        <w:rPr>
          <w:bCs/>
          <w:lang w:val="en-US"/>
        </w:rPr>
        <w:t xml:space="preserve">illustrated in the following figure, </w:t>
      </w:r>
      <w:r w:rsidR="00684F27">
        <w:rPr>
          <w:bCs/>
          <w:lang w:val="en-US"/>
        </w:rPr>
        <w:t xml:space="preserve">if a </w:t>
      </w:r>
      <w:r w:rsidR="00526153">
        <w:rPr>
          <w:bCs/>
          <w:lang w:val="en-US"/>
        </w:rPr>
        <w:t>UE</w:t>
      </w:r>
      <w:r w:rsidR="00684F27">
        <w:rPr>
          <w:bCs/>
          <w:lang w:val="en-US"/>
        </w:rPr>
        <w:t xml:space="preserve"> supports this band combination, it</w:t>
      </w:r>
      <w:r w:rsidR="00526153">
        <w:rPr>
          <w:bCs/>
          <w:lang w:val="en-US"/>
        </w:rPr>
        <w:t xml:space="preserve"> should report “both” since this is a mixed case (Config#3). One fallback by removing LTE CC#1 is </w:t>
      </w:r>
      <w:bookmarkStart w:id="7" w:name="_Hlk124428512"/>
      <w:r w:rsidR="00526153">
        <w:rPr>
          <w:bCs/>
          <w:lang w:val="en-US"/>
        </w:rPr>
        <w:t>DL: DC_48C_n48A/UL: DC_48A_n48A</w:t>
      </w:r>
      <w:bookmarkEnd w:id="7"/>
      <w:r w:rsidR="00526153">
        <w:rPr>
          <w:bCs/>
          <w:lang w:val="en-US"/>
        </w:rPr>
        <w:t xml:space="preserve"> also belongs to Config#3, therefore it is supported</w:t>
      </w:r>
      <w:r w:rsidR="00684F27">
        <w:rPr>
          <w:bCs/>
          <w:lang w:val="en-US"/>
        </w:rPr>
        <w:t xml:space="preserve"> if the parent band combo is supported</w:t>
      </w:r>
      <w:r w:rsidR="00526153">
        <w:rPr>
          <w:bCs/>
          <w:lang w:val="en-US"/>
        </w:rPr>
        <w:t xml:space="preserve">. </w:t>
      </w:r>
      <w:r w:rsidR="00684F27">
        <w:rPr>
          <w:bCs/>
          <w:lang w:val="en-US"/>
        </w:rPr>
        <w:t>Similarly,</w:t>
      </w:r>
      <w:r w:rsidR="00526153">
        <w:rPr>
          <w:bCs/>
          <w:lang w:val="en-US"/>
        </w:rPr>
        <w:t xml:space="preserve"> the fallback by removing LTE CC#2</w:t>
      </w:r>
      <w:r w:rsidR="00684F27">
        <w:rPr>
          <w:bCs/>
          <w:lang w:val="en-US"/>
        </w:rPr>
        <w:t xml:space="preserve">, i.e., </w:t>
      </w:r>
      <w:bookmarkStart w:id="8" w:name="_Hlk124428566"/>
      <w:r w:rsidR="00684F27">
        <w:rPr>
          <w:bCs/>
          <w:lang w:val="en-US"/>
        </w:rPr>
        <w:t>DL: DC_48A_(n)48AA/UL: DC_48A_n48A</w:t>
      </w:r>
      <w:bookmarkEnd w:id="8"/>
      <w:r w:rsidR="00684F27">
        <w:rPr>
          <w:bCs/>
          <w:lang w:val="en-US"/>
        </w:rPr>
        <w:t>,</w:t>
      </w:r>
      <w:r w:rsidR="00526153">
        <w:rPr>
          <w:bCs/>
          <w:lang w:val="en-US"/>
        </w:rPr>
        <w:t xml:space="preserve"> should also </w:t>
      </w:r>
      <w:r w:rsidR="00684F27">
        <w:rPr>
          <w:bCs/>
          <w:lang w:val="en-US"/>
        </w:rPr>
        <w:t>be</w:t>
      </w:r>
      <w:r w:rsidR="00526153">
        <w:rPr>
          <w:bCs/>
          <w:lang w:val="en-US"/>
        </w:rPr>
        <w:t xml:space="preserve"> supported</w:t>
      </w:r>
      <w:r w:rsidR="00684F27">
        <w:rPr>
          <w:bCs/>
          <w:lang w:val="en-US"/>
        </w:rPr>
        <w:t xml:space="preserve"> if the parent band combo is supported</w:t>
      </w:r>
      <w:r w:rsidR="00526153">
        <w:rPr>
          <w:bCs/>
          <w:lang w:val="en-US"/>
        </w:rPr>
        <w:t>.</w:t>
      </w:r>
    </w:p>
    <w:p w14:paraId="72700C88" w14:textId="1E16C3FF" w:rsidR="00BD1668" w:rsidRDefault="00526153" w:rsidP="00526153">
      <w:pPr>
        <w:jc w:val="center"/>
        <w:rPr>
          <w:bCs/>
          <w:lang w:val="en-US"/>
        </w:rPr>
      </w:pPr>
      <w:r>
        <w:rPr>
          <w:bCs/>
          <w:noProof/>
          <w:lang w:val="en-US"/>
        </w:rPr>
        <w:drawing>
          <wp:inline distT="0" distB="0" distL="0" distR="0" wp14:anchorId="4310F666" wp14:editId="18D00C2E">
            <wp:extent cx="3632200" cy="4022090"/>
            <wp:effectExtent l="0" t="0" r="6350" b="0"/>
            <wp:docPr id="2" name="Picture 2" descr="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Graphical user interface&#10;&#10;Description automatically generated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60582" cy="4053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69E0BB" w14:textId="48FBFC8F" w:rsidR="00526153" w:rsidRDefault="00526153" w:rsidP="00526153">
      <w:pPr>
        <w:jc w:val="center"/>
        <w:rPr>
          <w:bCs/>
          <w:lang w:val="en-US"/>
        </w:rPr>
      </w:pPr>
      <w:r>
        <w:rPr>
          <w:bCs/>
          <w:lang w:val="en-US"/>
        </w:rPr>
        <w:t xml:space="preserve">Fig. 2, Fallbacks support for DL: DC_(n)48DA/UL: DC_48A_n48A </w:t>
      </w:r>
    </w:p>
    <w:p w14:paraId="7DC03346" w14:textId="5A80F716" w:rsidR="00BD1668" w:rsidRDefault="00684F27" w:rsidP="00932D17">
      <w:pPr>
        <w:jc w:val="both"/>
        <w:rPr>
          <w:bCs/>
          <w:lang w:val="en-US"/>
        </w:rPr>
      </w:pPr>
      <w:r>
        <w:rPr>
          <w:b/>
          <w:lang w:val="en-US"/>
        </w:rPr>
        <w:lastRenderedPageBreak/>
        <w:t xml:space="preserve">Proposal 2: For the example band combination </w:t>
      </w:r>
      <w:r w:rsidRPr="00684F27">
        <w:rPr>
          <w:b/>
          <w:lang w:val="en-US"/>
        </w:rPr>
        <w:t>DL: DC_(n)48DA / UL: DC_48A_n48A</w:t>
      </w:r>
      <w:r>
        <w:rPr>
          <w:b/>
          <w:lang w:val="en-US"/>
        </w:rPr>
        <w:t xml:space="preserve">, if a UE supports the band combo by reporting “both”, then its fallbacks </w:t>
      </w:r>
      <w:r w:rsidRPr="00684F27">
        <w:rPr>
          <w:b/>
          <w:lang w:val="en-US"/>
        </w:rPr>
        <w:t>DL: DC_48C_n48A/UL: DC_48A_n48A</w:t>
      </w:r>
      <w:r>
        <w:rPr>
          <w:b/>
          <w:lang w:val="en-US"/>
        </w:rPr>
        <w:t xml:space="preserve">, and </w:t>
      </w:r>
      <w:r w:rsidR="004B3070" w:rsidRPr="004B3070">
        <w:rPr>
          <w:b/>
          <w:lang w:val="en-US"/>
        </w:rPr>
        <w:t xml:space="preserve">DL: DC_48A_(n)48AA/UL: DC_48A_n48A </w:t>
      </w:r>
      <w:r>
        <w:rPr>
          <w:b/>
          <w:lang w:val="en-US"/>
        </w:rPr>
        <w:t>should also be supported.</w:t>
      </w:r>
    </w:p>
    <w:bookmarkEnd w:id="5"/>
    <w:p w14:paraId="2A3739F7" w14:textId="550E158B" w:rsidR="002634C9" w:rsidRPr="004D4F98" w:rsidRDefault="0061046D" w:rsidP="0061046D">
      <w:pPr>
        <w:pStyle w:val="Heading1"/>
        <w:numPr>
          <w:ilvl w:val="0"/>
          <w:numId w:val="3"/>
        </w:numPr>
        <w:rPr>
          <w:lang w:val="en-US"/>
        </w:rPr>
      </w:pPr>
      <w:r>
        <w:rPr>
          <w:lang w:val="en-US"/>
        </w:rPr>
        <w:t>Conclusion</w:t>
      </w:r>
    </w:p>
    <w:p w14:paraId="17948794" w14:textId="7C00A849" w:rsidR="003C0851" w:rsidRPr="00830B4C" w:rsidRDefault="008D0D1E" w:rsidP="003C0851">
      <w:pPr>
        <w:jc w:val="both"/>
        <w:rPr>
          <w:lang w:val="en-US" w:eastAsia="ja-JP"/>
        </w:rPr>
      </w:pPr>
      <w:r w:rsidRPr="004D4F98">
        <w:rPr>
          <w:lang w:val="en-US" w:eastAsia="ja-JP"/>
        </w:rPr>
        <w:t>In this contribution w</w:t>
      </w:r>
      <w:r>
        <w:rPr>
          <w:lang w:val="en-US" w:eastAsia="ja-JP"/>
        </w:rPr>
        <w:t xml:space="preserve">e have </w:t>
      </w:r>
      <w:r w:rsidR="0061046D">
        <w:rPr>
          <w:lang w:val="en-US" w:eastAsia="ja-JP"/>
        </w:rPr>
        <w:t>the following observations and proposal for</w:t>
      </w:r>
      <w:r w:rsidR="00D61AC4">
        <w:rPr>
          <w:lang w:val="en-US" w:eastAsia="ja-JP"/>
        </w:rPr>
        <w:t xml:space="preserve"> specifying intra-band ENDC support capability</w:t>
      </w:r>
      <w:r w:rsidR="003C0851" w:rsidRPr="00C0585F">
        <w:rPr>
          <w:lang w:val="en-US"/>
        </w:rPr>
        <w:t>:</w:t>
      </w:r>
    </w:p>
    <w:p w14:paraId="3B2869A3" w14:textId="77777777" w:rsidR="00B9350F" w:rsidRDefault="00B9350F" w:rsidP="00B9350F">
      <w:pPr>
        <w:jc w:val="both"/>
        <w:rPr>
          <w:b/>
          <w:bCs/>
          <w:lang w:val="en-US"/>
        </w:rPr>
      </w:pPr>
      <w:r w:rsidRPr="00AE2AF9">
        <w:rPr>
          <w:b/>
          <w:bCs/>
          <w:lang w:val="en-US"/>
        </w:rPr>
        <w:t xml:space="preserve">Observation 1: </w:t>
      </w:r>
      <w:r>
        <w:rPr>
          <w:b/>
          <w:bCs/>
          <w:lang w:val="en-US"/>
        </w:rPr>
        <w:t>In the current RAN2 specs, the IE “</w:t>
      </w:r>
      <w:r w:rsidRPr="00AE2AF9">
        <w:rPr>
          <w:b/>
          <w:bCs/>
          <w:i/>
          <w:iCs/>
          <w:lang w:val="en-US"/>
        </w:rPr>
        <w:t>intraBandENDC-Support</w:t>
      </w:r>
      <w:r>
        <w:rPr>
          <w:b/>
          <w:bCs/>
          <w:lang w:val="en-US"/>
        </w:rPr>
        <w:t>” does not differentiate UL and DL, therefore implies the same spectrum contiguity of both UL and DL.</w:t>
      </w:r>
    </w:p>
    <w:p w14:paraId="14E0FC35" w14:textId="18697353" w:rsidR="0050226F" w:rsidRPr="00C0585F" w:rsidRDefault="00B9350F" w:rsidP="00B9350F">
      <w:pPr>
        <w:jc w:val="both"/>
        <w:rPr>
          <w:b/>
          <w:lang w:val="en-US"/>
        </w:rPr>
      </w:pPr>
      <w:r>
        <w:rPr>
          <w:b/>
          <w:bCs/>
          <w:lang w:val="en-US"/>
        </w:rPr>
        <w:t>Observation 2: The value “</w:t>
      </w:r>
      <w:r w:rsidRPr="00480F3E">
        <w:rPr>
          <w:b/>
          <w:bCs/>
          <w:i/>
          <w:iCs/>
          <w:lang w:val="en-US"/>
        </w:rPr>
        <w:t>contiguous</w:t>
      </w:r>
      <w:r>
        <w:rPr>
          <w:b/>
          <w:bCs/>
          <w:lang w:val="en-US"/>
        </w:rPr>
        <w:t>” indicated in the IE “</w:t>
      </w:r>
      <w:r w:rsidRPr="00AE2AF9">
        <w:rPr>
          <w:b/>
          <w:bCs/>
          <w:i/>
          <w:iCs/>
          <w:lang w:val="en-US"/>
        </w:rPr>
        <w:t>intraBandENDC-Support</w:t>
      </w:r>
      <w:r>
        <w:rPr>
          <w:b/>
          <w:bCs/>
          <w:lang w:val="en-US"/>
        </w:rPr>
        <w:t>” refers to a set of configurations, labelled as Config#1, where only contiguous spectrum is assumed at both UL and DL. And the value “</w:t>
      </w:r>
      <w:r w:rsidRPr="00480F3E">
        <w:rPr>
          <w:b/>
          <w:bCs/>
          <w:i/>
          <w:iCs/>
          <w:lang w:val="en-US"/>
        </w:rPr>
        <w:t>non-contiguous</w:t>
      </w:r>
      <w:r>
        <w:rPr>
          <w:b/>
          <w:bCs/>
          <w:lang w:val="en-US"/>
        </w:rPr>
        <w:t>” refers to another set of configurations, labelled as Config#2, where only non-contiguous spectrum is assumed at both UL and DL. And the value “</w:t>
      </w:r>
      <w:r w:rsidRPr="00480F3E">
        <w:rPr>
          <w:b/>
          <w:bCs/>
          <w:i/>
          <w:iCs/>
          <w:lang w:val="en-US"/>
        </w:rPr>
        <w:t>both</w:t>
      </w:r>
      <w:r>
        <w:rPr>
          <w:b/>
          <w:bCs/>
          <w:lang w:val="en-US"/>
        </w:rPr>
        <w:t>” means the support of both Config#1 and Config#2.</w:t>
      </w:r>
    </w:p>
    <w:p w14:paraId="048A096C" w14:textId="1210873E" w:rsidR="0050226F" w:rsidRDefault="00B9350F" w:rsidP="003C0851">
      <w:pPr>
        <w:jc w:val="both"/>
        <w:rPr>
          <w:b/>
          <w:lang w:val="en-US"/>
        </w:rPr>
      </w:pPr>
      <w:r>
        <w:rPr>
          <w:b/>
          <w:lang w:val="en-US"/>
        </w:rPr>
        <w:t>Observation 3: With the RAN4 agreement that “both” can be used for indicating the support of Case 3 and Case 4, RAN4 is actually extending the meaning of “both”.</w:t>
      </w:r>
    </w:p>
    <w:p w14:paraId="1F2109E7" w14:textId="18BA3543" w:rsidR="00C42765" w:rsidRDefault="00C42765" w:rsidP="003C0851">
      <w:pPr>
        <w:jc w:val="both"/>
        <w:rPr>
          <w:b/>
          <w:lang w:val="en-US"/>
        </w:rPr>
      </w:pPr>
      <w:r>
        <w:rPr>
          <w:b/>
          <w:lang w:val="en-US"/>
        </w:rPr>
        <w:t>Proposal</w:t>
      </w:r>
      <w:r w:rsidR="00684F27">
        <w:rPr>
          <w:b/>
          <w:lang w:val="en-US"/>
        </w:rPr>
        <w:t xml:space="preserve"> 1</w:t>
      </w:r>
      <w:r>
        <w:rPr>
          <w:b/>
          <w:lang w:val="en-US"/>
        </w:rPr>
        <w:t>: RAN4 to specify Config#1 (both UL and DL has contiguous spectrum), Config#2 (both UL and DL has non-contiguous spectrum) and Config#3 (UL and DL has different contiguity) in different sub-clauses corresponding to different values reported in intraBandENDC-Support.</w:t>
      </w:r>
    </w:p>
    <w:p w14:paraId="3A99F78C" w14:textId="7C44125A" w:rsidR="00FC1ED5" w:rsidRPr="00C0585F" w:rsidRDefault="00FC1ED5" w:rsidP="003C0851">
      <w:pPr>
        <w:jc w:val="both"/>
        <w:rPr>
          <w:lang w:val="en-US"/>
        </w:rPr>
      </w:pPr>
      <w:r>
        <w:rPr>
          <w:b/>
          <w:lang w:val="en-US"/>
        </w:rPr>
        <w:t xml:space="preserve">Proposal 2: For the example band combination </w:t>
      </w:r>
      <w:r w:rsidRPr="00684F27">
        <w:rPr>
          <w:b/>
          <w:lang w:val="en-US"/>
        </w:rPr>
        <w:t>DL: DC_(n)48DA / UL: DC_48A_n48A</w:t>
      </w:r>
      <w:r>
        <w:rPr>
          <w:b/>
          <w:lang w:val="en-US"/>
        </w:rPr>
        <w:t xml:space="preserve">, if a UE supports the band combo by reporting “both”, then its fallbacks </w:t>
      </w:r>
      <w:r w:rsidRPr="00684F27">
        <w:rPr>
          <w:b/>
          <w:lang w:val="en-US"/>
        </w:rPr>
        <w:t>DL: DC_48C_n48A/UL: DC_48A_n48A</w:t>
      </w:r>
      <w:r>
        <w:rPr>
          <w:b/>
          <w:lang w:val="en-US"/>
        </w:rPr>
        <w:t xml:space="preserve">, and </w:t>
      </w:r>
      <w:r w:rsidRPr="004B3070">
        <w:rPr>
          <w:b/>
          <w:lang w:val="en-US"/>
        </w:rPr>
        <w:t xml:space="preserve">DL: DC_48A_(n)48AA/UL: DC_48A_n48A </w:t>
      </w:r>
      <w:r>
        <w:rPr>
          <w:b/>
          <w:lang w:val="en-US"/>
        </w:rPr>
        <w:t>should also be supported.</w:t>
      </w:r>
    </w:p>
    <w:p w14:paraId="390ECC25" w14:textId="61FDD5B6" w:rsidR="005A782E" w:rsidRPr="002331D3" w:rsidRDefault="005A782E" w:rsidP="005876AB">
      <w:pPr>
        <w:pStyle w:val="Heading1"/>
        <w:ind w:left="0" w:firstLine="0"/>
        <w:rPr>
          <w:lang w:val="en-US"/>
        </w:rPr>
      </w:pPr>
      <w:r w:rsidRPr="002331D3">
        <w:rPr>
          <w:lang w:val="en-US"/>
        </w:rPr>
        <w:t>References</w:t>
      </w:r>
    </w:p>
    <w:p w14:paraId="14B7FA6F" w14:textId="1A09BA15" w:rsidR="00BC1AC0" w:rsidRDefault="00BC1AC0" w:rsidP="00461CC4">
      <w:pPr>
        <w:pStyle w:val="ListParagraph"/>
        <w:numPr>
          <w:ilvl w:val="0"/>
          <w:numId w:val="2"/>
        </w:numPr>
        <w:rPr>
          <w:lang w:val="en-US"/>
        </w:rPr>
      </w:pPr>
      <w:bookmarkStart w:id="9" w:name="OLE_LINK12"/>
      <w:bookmarkStart w:id="10" w:name="_Ref101774927"/>
      <w:r>
        <w:rPr>
          <w:lang w:val="en-US"/>
        </w:rPr>
        <w:t>R4-2220837, LS on intraBandENDC-Support, RAN4 (Huawei)</w:t>
      </w:r>
    </w:p>
    <w:p w14:paraId="69727AFD" w14:textId="5ADFE793" w:rsidR="001A6DCF" w:rsidRDefault="00BC1AC0" w:rsidP="00461CC4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R4-2220589, WF on intra-band ENDC support capability, OPPO</w:t>
      </w:r>
    </w:p>
    <w:p w14:paraId="5AC3C80B" w14:textId="4851C5E7" w:rsidR="001C68B2" w:rsidRDefault="001C68B2" w:rsidP="00461CC4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TS 38.306 v17.2.0</w:t>
      </w:r>
    </w:p>
    <w:p w14:paraId="04221593" w14:textId="36EE1F3F" w:rsidR="000C6119" w:rsidRPr="00461CC4" w:rsidRDefault="000C6119" w:rsidP="00461CC4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R4-230xxxx, </w:t>
      </w:r>
      <w:r w:rsidRPr="000C6119">
        <w:rPr>
          <w:lang w:val="en-US"/>
        </w:rPr>
        <w:t>CR to TS 38.101-3 on intra-band ENDC support</w:t>
      </w:r>
      <w:r>
        <w:rPr>
          <w:lang w:val="en-US"/>
        </w:rPr>
        <w:t>, MediaTek</w:t>
      </w:r>
    </w:p>
    <w:bookmarkEnd w:id="9"/>
    <w:bookmarkEnd w:id="10"/>
    <w:p w14:paraId="579C76C0" w14:textId="77777777" w:rsidR="003664C2" w:rsidRPr="00C0585F" w:rsidRDefault="003664C2" w:rsidP="003664C2">
      <w:pPr>
        <w:rPr>
          <w:rFonts w:ascii="Arial" w:hAnsi="Arial" w:cs="Times New Roman"/>
          <w:sz w:val="21"/>
          <w:szCs w:val="21"/>
          <w:lang w:val="en-US"/>
        </w:rPr>
      </w:pPr>
    </w:p>
    <w:sectPr w:rsidR="003664C2" w:rsidRPr="00C0585F" w:rsidSect="006D575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D07BB" w14:textId="77777777" w:rsidR="0036102B" w:rsidRDefault="0036102B">
      <w:pPr>
        <w:spacing w:after="0"/>
      </w:pPr>
      <w:r>
        <w:separator/>
      </w:r>
    </w:p>
  </w:endnote>
  <w:endnote w:type="continuationSeparator" w:id="0">
    <w:p w14:paraId="2D7F6B9E" w14:textId="77777777" w:rsidR="0036102B" w:rsidRDefault="0036102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5DB72" w14:textId="77777777" w:rsidR="0036102B" w:rsidRDefault="0036102B">
      <w:pPr>
        <w:spacing w:after="0"/>
      </w:pPr>
      <w:r>
        <w:separator/>
      </w:r>
    </w:p>
  </w:footnote>
  <w:footnote w:type="continuationSeparator" w:id="0">
    <w:p w14:paraId="59EDCA4F" w14:textId="77777777" w:rsidR="0036102B" w:rsidRDefault="0036102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71D4F"/>
    <w:multiLevelType w:val="hybridMultilevel"/>
    <w:tmpl w:val="1CAEC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3EDC"/>
    <w:multiLevelType w:val="hybridMultilevel"/>
    <w:tmpl w:val="58369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D09E4"/>
    <w:multiLevelType w:val="hybridMultilevel"/>
    <w:tmpl w:val="1B92363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" w15:restartNumberingAfterBreak="0">
    <w:nsid w:val="10B636A0"/>
    <w:multiLevelType w:val="hybridMultilevel"/>
    <w:tmpl w:val="2A627D3C"/>
    <w:lvl w:ilvl="0" w:tplc="041D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511658"/>
    <w:multiLevelType w:val="hybridMultilevel"/>
    <w:tmpl w:val="60808BC2"/>
    <w:lvl w:ilvl="0" w:tplc="5ACE286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2B1DD4"/>
    <w:multiLevelType w:val="hybridMultilevel"/>
    <w:tmpl w:val="2878E8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856E7A"/>
    <w:multiLevelType w:val="multilevel"/>
    <w:tmpl w:val="2BA6E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C1E2C82"/>
    <w:multiLevelType w:val="hybridMultilevel"/>
    <w:tmpl w:val="779051F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1E00CA3"/>
    <w:multiLevelType w:val="multilevel"/>
    <w:tmpl w:val="11789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6744A16"/>
    <w:multiLevelType w:val="hybridMultilevel"/>
    <w:tmpl w:val="EF88C5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EC1074"/>
    <w:multiLevelType w:val="hybridMultilevel"/>
    <w:tmpl w:val="CE820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9BAECD3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3702917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199825A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5FE2E50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A68A27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1B68C1A6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566E7CDE"/>
    <w:multiLevelType w:val="hybridMultilevel"/>
    <w:tmpl w:val="EE4EB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hybridMultilevel"/>
    <w:tmpl w:val="92FC7A3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D9904B1"/>
    <w:multiLevelType w:val="hybridMultilevel"/>
    <w:tmpl w:val="F1BC7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D15244"/>
    <w:multiLevelType w:val="hybridMultilevel"/>
    <w:tmpl w:val="87C4E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1571B2"/>
    <w:multiLevelType w:val="hybridMultilevel"/>
    <w:tmpl w:val="F7DE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0C0579"/>
    <w:multiLevelType w:val="hybridMultilevel"/>
    <w:tmpl w:val="5DA28E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BC21F1"/>
    <w:multiLevelType w:val="hybridMultilevel"/>
    <w:tmpl w:val="8F1CA1D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4"/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1"/>
  </w:num>
  <w:num w:numId="7">
    <w:abstractNumId w:val="17"/>
  </w:num>
  <w:num w:numId="8">
    <w:abstractNumId w:val="2"/>
  </w:num>
  <w:num w:numId="9">
    <w:abstractNumId w:val="17"/>
  </w:num>
  <w:num w:numId="10">
    <w:abstractNumId w:val="5"/>
  </w:num>
  <w:num w:numId="11">
    <w:abstractNumId w:val="17"/>
  </w:num>
  <w:num w:numId="12">
    <w:abstractNumId w:val="22"/>
  </w:num>
  <w:num w:numId="13">
    <w:abstractNumId w:val="7"/>
  </w:num>
  <w:num w:numId="14">
    <w:abstractNumId w:val="8"/>
  </w:num>
  <w:num w:numId="15">
    <w:abstractNumId w:val="21"/>
  </w:num>
  <w:num w:numId="16">
    <w:abstractNumId w:val="1"/>
  </w:num>
  <w:num w:numId="17">
    <w:abstractNumId w:val="12"/>
  </w:num>
  <w:num w:numId="18">
    <w:abstractNumId w:val="17"/>
  </w:num>
  <w:num w:numId="19">
    <w:abstractNumId w:val="9"/>
  </w:num>
  <w:num w:numId="20">
    <w:abstractNumId w:val="20"/>
  </w:num>
  <w:num w:numId="21">
    <w:abstractNumId w:val="16"/>
  </w:num>
  <w:num w:numId="22">
    <w:abstractNumId w:val="19"/>
  </w:num>
  <w:num w:numId="23">
    <w:abstractNumId w:val="17"/>
  </w:num>
  <w:num w:numId="24">
    <w:abstractNumId w:val="18"/>
  </w:num>
  <w:num w:numId="25">
    <w:abstractNumId w:val="13"/>
  </w:num>
  <w:num w:numId="26">
    <w:abstractNumId w:val="17"/>
  </w:num>
  <w:num w:numId="27">
    <w:abstractNumId w:val="18"/>
  </w:num>
  <w:num w:numId="28">
    <w:abstractNumId w:val="15"/>
  </w:num>
  <w:num w:numId="29">
    <w:abstractNumId w:val="14"/>
  </w:num>
  <w:num w:numId="30">
    <w:abstractNumId w:val="3"/>
  </w:num>
  <w:num w:numId="31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A87"/>
    <w:rsid w:val="00001CEA"/>
    <w:rsid w:val="00001DAA"/>
    <w:rsid w:val="00001DC6"/>
    <w:rsid w:val="00002141"/>
    <w:rsid w:val="00002F08"/>
    <w:rsid w:val="000037A9"/>
    <w:rsid w:val="00003FC8"/>
    <w:rsid w:val="000047D2"/>
    <w:rsid w:val="00004D1B"/>
    <w:rsid w:val="00006032"/>
    <w:rsid w:val="00006C3B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C02"/>
    <w:rsid w:val="00015C5A"/>
    <w:rsid w:val="0001601E"/>
    <w:rsid w:val="00016296"/>
    <w:rsid w:val="00016B32"/>
    <w:rsid w:val="00017246"/>
    <w:rsid w:val="00017714"/>
    <w:rsid w:val="0001790A"/>
    <w:rsid w:val="00017A14"/>
    <w:rsid w:val="00017D5A"/>
    <w:rsid w:val="00017EE2"/>
    <w:rsid w:val="00020D6F"/>
    <w:rsid w:val="000215C4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2519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E73"/>
    <w:rsid w:val="000374C6"/>
    <w:rsid w:val="0004052D"/>
    <w:rsid w:val="000405FC"/>
    <w:rsid w:val="00040C18"/>
    <w:rsid w:val="00041436"/>
    <w:rsid w:val="000414ED"/>
    <w:rsid w:val="00041B14"/>
    <w:rsid w:val="0004248E"/>
    <w:rsid w:val="0004268F"/>
    <w:rsid w:val="000436AB"/>
    <w:rsid w:val="00044D8D"/>
    <w:rsid w:val="00044ED8"/>
    <w:rsid w:val="00045197"/>
    <w:rsid w:val="00045494"/>
    <w:rsid w:val="000456A6"/>
    <w:rsid w:val="000456A9"/>
    <w:rsid w:val="0004582E"/>
    <w:rsid w:val="00045947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714"/>
    <w:rsid w:val="00050868"/>
    <w:rsid w:val="00051207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E3E"/>
    <w:rsid w:val="00062363"/>
    <w:rsid w:val="000627C9"/>
    <w:rsid w:val="000628F2"/>
    <w:rsid w:val="00062C13"/>
    <w:rsid w:val="00062DDD"/>
    <w:rsid w:val="00063F02"/>
    <w:rsid w:val="00064133"/>
    <w:rsid w:val="0006457A"/>
    <w:rsid w:val="000648BA"/>
    <w:rsid w:val="00065201"/>
    <w:rsid w:val="000656E5"/>
    <w:rsid w:val="00065BA2"/>
    <w:rsid w:val="000666B9"/>
    <w:rsid w:val="00066770"/>
    <w:rsid w:val="00066A1D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673"/>
    <w:rsid w:val="000839E3"/>
    <w:rsid w:val="00083E10"/>
    <w:rsid w:val="00083E1A"/>
    <w:rsid w:val="00085A8A"/>
    <w:rsid w:val="00085C53"/>
    <w:rsid w:val="000863BD"/>
    <w:rsid w:val="0008685F"/>
    <w:rsid w:val="00086B92"/>
    <w:rsid w:val="00086EDA"/>
    <w:rsid w:val="0008739C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A33"/>
    <w:rsid w:val="000C2719"/>
    <w:rsid w:val="000C28C3"/>
    <w:rsid w:val="000C2986"/>
    <w:rsid w:val="000C2B76"/>
    <w:rsid w:val="000C2E7D"/>
    <w:rsid w:val="000C300F"/>
    <w:rsid w:val="000C357F"/>
    <w:rsid w:val="000C375D"/>
    <w:rsid w:val="000C3EB5"/>
    <w:rsid w:val="000C3FBB"/>
    <w:rsid w:val="000C3FF8"/>
    <w:rsid w:val="000C456F"/>
    <w:rsid w:val="000C533A"/>
    <w:rsid w:val="000C541B"/>
    <w:rsid w:val="000C5676"/>
    <w:rsid w:val="000C5EDC"/>
    <w:rsid w:val="000C60C5"/>
    <w:rsid w:val="000C6119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96C"/>
    <w:rsid w:val="000D53F9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9C0"/>
    <w:rsid w:val="000E2ADE"/>
    <w:rsid w:val="000E2B75"/>
    <w:rsid w:val="000E2BB2"/>
    <w:rsid w:val="000E2C22"/>
    <w:rsid w:val="000E2CCA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D7"/>
    <w:rsid w:val="000F0186"/>
    <w:rsid w:val="000F064C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5141"/>
    <w:rsid w:val="000F522D"/>
    <w:rsid w:val="000F566C"/>
    <w:rsid w:val="000F614F"/>
    <w:rsid w:val="000F6226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5692"/>
    <w:rsid w:val="00106338"/>
    <w:rsid w:val="00106481"/>
    <w:rsid w:val="00106627"/>
    <w:rsid w:val="00106CE4"/>
    <w:rsid w:val="00106F0C"/>
    <w:rsid w:val="00107133"/>
    <w:rsid w:val="001079BC"/>
    <w:rsid w:val="00110126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934"/>
    <w:rsid w:val="00115DF6"/>
    <w:rsid w:val="00115EC3"/>
    <w:rsid w:val="001166F3"/>
    <w:rsid w:val="001168B7"/>
    <w:rsid w:val="001168DF"/>
    <w:rsid w:val="00117316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DBE"/>
    <w:rsid w:val="00130130"/>
    <w:rsid w:val="001301AC"/>
    <w:rsid w:val="00130215"/>
    <w:rsid w:val="0013086E"/>
    <w:rsid w:val="00130BB4"/>
    <w:rsid w:val="00130BC6"/>
    <w:rsid w:val="001311A2"/>
    <w:rsid w:val="00131CB1"/>
    <w:rsid w:val="0013265C"/>
    <w:rsid w:val="001327A1"/>
    <w:rsid w:val="00132C26"/>
    <w:rsid w:val="001334AF"/>
    <w:rsid w:val="001334ED"/>
    <w:rsid w:val="001336DC"/>
    <w:rsid w:val="001346FB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3060"/>
    <w:rsid w:val="00143A83"/>
    <w:rsid w:val="00144042"/>
    <w:rsid w:val="0014451A"/>
    <w:rsid w:val="00144674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2A02"/>
    <w:rsid w:val="0016362E"/>
    <w:rsid w:val="00163842"/>
    <w:rsid w:val="00163E72"/>
    <w:rsid w:val="0016479A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E27"/>
    <w:rsid w:val="00171F44"/>
    <w:rsid w:val="001727E6"/>
    <w:rsid w:val="001731A3"/>
    <w:rsid w:val="001731FB"/>
    <w:rsid w:val="00173B1E"/>
    <w:rsid w:val="00173DB5"/>
    <w:rsid w:val="00174022"/>
    <w:rsid w:val="0017409A"/>
    <w:rsid w:val="00174253"/>
    <w:rsid w:val="0017490F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BB5"/>
    <w:rsid w:val="001931C1"/>
    <w:rsid w:val="00193491"/>
    <w:rsid w:val="00193516"/>
    <w:rsid w:val="0019382E"/>
    <w:rsid w:val="00193CD3"/>
    <w:rsid w:val="00194088"/>
    <w:rsid w:val="00194385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491"/>
    <w:rsid w:val="001A3600"/>
    <w:rsid w:val="001A3F3A"/>
    <w:rsid w:val="001A4725"/>
    <w:rsid w:val="001A48A8"/>
    <w:rsid w:val="001A4914"/>
    <w:rsid w:val="001A4A47"/>
    <w:rsid w:val="001A5517"/>
    <w:rsid w:val="001A5557"/>
    <w:rsid w:val="001A5974"/>
    <w:rsid w:val="001A5A08"/>
    <w:rsid w:val="001A66EA"/>
    <w:rsid w:val="001A6DCF"/>
    <w:rsid w:val="001A6F80"/>
    <w:rsid w:val="001A7107"/>
    <w:rsid w:val="001A7126"/>
    <w:rsid w:val="001A7DC3"/>
    <w:rsid w:val="001B0197"/>
    <w:rsid w:val="001B0248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3CD"/>
    <w:rsid w:val="001C14C3"/>
    <w:rsid w:val="001C17B0"/>
    <w:rsid w:val="001C1BD7"/>
    <w:rsid w:val="001C26C0"/>
    <w:rsid w:val="001C27CC"/>
    <w:rsid w:val="001C3089"/>
    <w:rsid w:val="001C38D4"/>
    <w:rsid w:val="001C3D0F"/>
    <w:rsid w:val="001C3FF5"/>
    <w:rsid w:val="001C4900"/>
    <w:rsid w:val="001C4DAD"/>
    <w:rsid w:val="001C56FB"/>
    <w:rsid w:val="001C5E78"/>
    <w:rsid w:val="001C605F"/>
    <w:rsid w:val="001C64C2"/>
    <w:rsid w:val="001C67E2"/>
    <w:rsid w:val="001C68B2"/>
    <w:rsid w:val="001C6D99"/>
    <w:rsid w:val="001C74B4"/>
    <w:rsid w:val="001C7A59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5196"/>
    <w:rsid w:val="001D5261"/>
    <w:rsid w:val="001D5AB9"/>
    <w:rsid w:val="001D5BD1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2A10"/>
    <w:rsid w:val="001E2DC8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5E19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002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A"/>
    <w:rsid w:val="00213F44"/>
    <w:rsid w:val="00214CEB"/>
    <w:rsid w:val="00215968"/>
    <w:rsid w:val="0021635E"/>
    <w:rsid w:val="00216397"/>
    <w:rsid w:val="00217797"/>
    <w:rsid w:val="002178A6"/>
    <w:rsid w:val="00217BA7"/>
    <w:rsid w:val="002205FA"/>
    <w:rsid w:val="002206A3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9EC"/>
    <w:rsid w:val="0024135F"/>
    <w:rsid w:val="0024189E"/>
    <w:rsid w:val="00241982"/>
    <w:rsid w:val="00242186"/>
    <w:rsid w:val="00242E94"/>
    <w:rsid w:val="00243258"/>
    <w:rsid w:val="002434F0"/>
    <w:rsid w:val="00243B7A"/>
    <w:rsid w:val="00243F00"/>
    <w:rsid w:val="0024479E"/>
    <w:rsid w:val="00245089"/>
    <w:rsid w:val="002455EF"/>
    <w:rsid w:val="00245C10"/>
    <w:rsid w:val="00245F3E"/>
    <w:rsid w:val="00245FCA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720C"/>
    <w:rsid w:val="002574F6"/>
    <w:rsid w:val="0025769E"/>
    <w:rsid w:val="00257780"/>
    <w:rsid w:val="00257E49"/>
    <w:rsid w:val="0026062E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A8C"/>
    <w:rsid w:val="002673C6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755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917ED"/>
    <w:rsid w:val="00292710"/>
    <w:rsid w:val="00292838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3CBF"/>
    <w:rsid w:val="002A4765"/>
    <w:rsid w:val="002A503A"/>
    <w:rsid w:val="002A5247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594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8BE"/>
    <w:rsid w:val="002D6637"/>
    <w:rsid w:val="002D6F69"/>
    <w:rsid w:val="002E02EB"/>
    <w:rsid w:val="002E06BD"/>
    <w:rsid w:val="002E0978"/>
    <w:rsid w:val="002E0F6A"/>
    <w:rsid w:val="002E11F2"/>
    <w:rsid w:val="002E188B"/>
    <w:rsid w:val="002E2A4A"/>
    <w:rsid w:val="002E2B29"/>
    <w:rsid w:val="002E2F17"/>
    <w:rsid w:val="002E308E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7691"/>
    <w:rsid w:val="002F792A"/>
    <w:rsid w:val="002F79D0"/>
    <w:rsid w:val="0030020B"/>
    <w:rsid w:val="00300599"/>
    <w:rsid w:val="00301549"/>
    <w:rsid w:val="00301862"/>
    <w:rsid w:val="00301C6C"/>
    <w:rsid w:val="00301DCB"/>
    <w:rsid w:val="00301F56"/>
    <w:rsid w:val="00302344"/>
    <w:rsid w:val="00302443"/>
    <w:rsid w:val="0030320F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6ECE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3E2B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FF"/>
    <w:rsid w:val="00327558"/>
    <w:rsid w:val="003275A8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4005C"/>
    <w:rsid w:val="00340456"/>
    <w:rsid w:val="003412EA"/>
    <w:rsid w:val="003416BB"/>
    <w:rsid w:val="00341703"/>
    <w:rsid w:val="00341740"/>
    <w:rsid w:val="0034230D"/>
    <w:rsid w:val="003426E8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0F60"/>
    <w:rsid w:val="0035121F"/>
    <w:rsid w:val="003513F1"/>
    <w:rsid w:val="00351690"/>
    <w:rsid w:val="00351B49"/>
    <w:rsid w:val="00351F47"/>
    <w:rsid w:val="00352480"/>
    <w:rsid w:val="003524B7"/>
    <w:rsid w:val="003528A4"/>
    <w:rsid w:val="003529DD"/>
    <w:rsid w:val="00353185"/>
    <w:rsid w:val="003536C8"/>
    <w:rsid w:val="00353932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4F5"/>
    <w:rsid w:val="00355656"/>
    <w:rsid w:val="00355898"/>
    <w:rsid w:val="0035592C"/>
    <w:rsid w:val="00355BE5"/>
    <w:rsid w:val="00356095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02B"/>
    <w:rsid w:val="00361515"/>
    <w:rsid w:val="00361606"/>
    <w:rsid w:val="00361BD7"/>
    <w:rsid w:val="0036218B"/>
    <w:rsid w:val="00363AD7"/>
    <w:rsid w:val="003643DC"/>
    <w:rsid w:val="003650E2"/>
    <w:rsid w:val="00365772"/>
    <w:rsid w:val="00366301"/>
    <w:rsid w:val="003664C2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0B7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680"/>
    <w:rsid w:val="00382992"/>
    <w:rsid w:val="00382C55"/>
    <w:rsid w:val="00382E52"/>
    <w:rsid w:val="003830DD"/>
    <w:rsid w:val="00383317"/>
    <w:rsid w:val="00383DF9"/>
    <w:rsid w:val="0038421A"/>
    <w:rsid w:val="003847EB"/>
    <w:rsid w:val="0038490F"/>
    <w:rsid w:val="00384ACD"/>
    <w:rsid w:val="00384CBA"/>
    <w:rsid w:val="00385071"/>
    <w:rsid w:val="00385166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491"/>
    <w:rsid w:val="003938B7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4B7"/>
    <w:rsid w:val="003B26AE"/>
    <w:rsid w:val="003B3525"/>
    <w:rsid w:val="003B35C2"/>
    <w:rsid w:val="003B392D"/>
    <w:rsid w:val="003B3C32"/>
    <w:rsid w:val="003B43D6"/>
    <w:rsid w:val="003B4B61"/>
    <w:rsid w:val="003B4D29"/>
    <w:rsid w:val="003B518B"/>
    <w:rsid w:val="003B5B6A"/>
    <w:rsid w:val="003B60AC"/>
    <w:rsid w:val="003B61FA"/>
    <w:rsid w:val="003B6626"/>
    <w:rsid w:val="003B66D6"/>
    <w:rsid w:val="003B6859"/>
    <w:rsid w:val="003B6EDF"/>
    <w:rsid w:val="003B741C"/>
    <w:rsid w:val="003B79B6"/>
    <w:rsid w:val="003B7F81"/>
    <w:rsid w:val="003C0851"/>
    <w:rsid w:val="003C09D9"/>
    <w:rsid w:val="003C19E9"/>
    <w:rsid w:val="003C1A26"/>
    <w:rsid w:val="003C1F65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5ED8"/>
    <w:rsid w:val="003C629C"/>
    <w:rsid w:val="003C6399"/>
    <w:rsid w:val="003C6406"/>
    <w:rsid w:val="003C6A8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4FB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D41"/>
    <w:rsid w:val="003E3E94"/>
    <w:rsid w:val="003E4324"/>
    <w:rsid w:val="003E4A53"/>
    <w:rsid w:val="003E4C42"/>
    <w:rsid w:val="003E4CBD"/>
    <w:rsid w:val="003E504B"/>
    <w:rsid w:val="003E539E"/>
    <w:rsid w:val="003E5923"/>
    <w:rsid w:val="003E7192"/>
    <w:rsid w:val="003F0959"/>
    <w:rsid w:val="003F17EC"/>
    <w:rsid w:val="003F17F2"/>
    <w:rsid w:val="003F1C17"/>
    <w:rsid w:val="003F1C64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4F66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C9B"/>
    <w:rsid w:val="00402E32"/>
    <w:rsid w:val="00403029"/>
    <w:rsid w:val="00403353"/>
    <w:rsid w:val="00403A28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93D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178E8"/>
    <w:rsid w:val="0042002D"/>
    <w:rsid w:val="00420993"/>
    <w:rsid w:val="00420D06"/>
    <w:rsid w:val="00420D6D"/>
    <w:rsid w:val="00421263"/>
    <w:rsid w:val="0042140A"/>
    <w:rsid w:val="0042179D"/>
    <w:rsid w:val="00421D5C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60BF"/>
    <w:rsid w:val="0043661B"/>
    <w:rsid w:val="004367FD"/>
    <w:rsid w:val="0043684E"/>
    <w:rsid w:val="00436AEB"/>
    <w:rsid w:val="00436F26"/>
    <w:rsid w:val="0043710F"/>
    <w:rsid w:val="00437690"/>
    <w:rsid w:val="00437BE8"/>
    <w:rsid w:val="00437DBE"/>
    <w:rsid w:val="00440710"/>
    <w:rsid w:val="00440ACD"/>
    <w:rsid w:val="00441BFC"/>
    <w:rsid w:val="00442C1B"/>
    <w:rsid w:val="00443663"/>
    <w:rsid w:val="00443917"/>
    <w:rsid w:val="004445F9"/>
    <w:rsid w:val="00444742"/>
    <w:rsid w:val="00444D27"/>
    <w:rsid w:val="00444EAD"/>
    <w:rsid w:val="00445099"/>
    <w:rsid w:val="00445147"/>
    <w:rsid w:val="004452D3"/>
    <w:rsid w:val="0044563A"/>
    <w:rsid w:val="00445777"/>
    <w:rsid w:val="004460E6"/>
    <w:rsid w:val="004472F0"/>
    <w:rsid w:val="00447C7D"/>
    <w:rsid w:val="00447D5B"/>
    <w:rsid w:val="00447FBA"/>
    <w:rsid w:val="00450109"/>
    <w:rsid w:val="004503F3"/>
    <w:rsid w:val="00450725"/>
    <w:rsid w:val="0045074D"/>
    <w:rsid w:val="00450B18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1CC4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DBE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0F3E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B1F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5D0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441F"/>
    <w:rsid w:val="004A4909"/>
    <w:rsid w:val="004A51B5"/>
    <w:rsid w:val="004A66B0"/>
    <w:rsid w:val="004A6C84"/>
    <w:rsid w:val="004A721D"/>
    <w:rsid w:val="004A7A53"/>
    <w:rsid w:val="004A7CFF"/>
    <w:rsid w:val="004A7E5B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496"/>
    <w:rsid w:val="004B2ED7"/>
    <w:rsid w:val="004B2F5C"/>
    <w:rsid w:val="004B2F73"/>
    <w:rsid w:val="004B3070"/>
    <w:rsid w:val="004B3152"/>
    <w:rsid w:val="004B38F7"/>
    <w:rsid w:val="004B3A01"/>
    <w:rsid w:val="004B3E8C"/>
    <w:rsid w:val="004B5680"/>
    <w:rsid w:val="004B5780"/>
    <w:rsid w:val="004B60B9"/>
    <w:rsid w:val="004B6609"/>
    <w:rsid w:val="004B6677"/>
    <w:rsid w:val="004B6823"/>
    <w:rsid w:val="004B7534"/>
    <w:rsid w:val="004B7980"/>
    <w:rsid w:val="004C096A"/>
    <w:rsid w:val="004C1962"/>
    <w:rsid w:val="004C1974"/>
    <w:rsid w:val="004C19AE"/>
    <w:rsid w:val="004C1A9D"/>
    <w:rsid w:val="004C2B2E"/>
    <w:rsid w:val="004C2E99"/>
    <w:rsid w:val="004C52E6"/>
    <w:rsid w:val="004C5729"/>
    <w:rsid w:val="004C57B7"/>
    <w:rsid w:val="004C5AE4"/>
    <w:rsid w:val="004C605E"/>
    <w:rsid w:val="004C60F1"/>
    <w:rsid w:val="004C682A"/>
    <w:rsid w:val="004C79D7"/>
    <w:rsid w:val="004D0C4D"/>
    <w:rsid w:val="004D0D3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816"/>
    <w:rsid w:val="004E5E88"/>
    <w:rsid w:val="004E61C1"/>
    <w:rsid w:val="004E6228"/>
    <w:rsid w:val="004E7A0E"/>
    <w:rsid w:val="004E7E0B"/>
    <w:rsid w:val="004E7E65"/>
    <w:rsid w:val="004F0386"/>
    <w:rsid w:val="004F1713"/>
    <w:rsid w:val="004F1BA7"/>
    <w:rsid w:val="004F1E1C"/>
    <w:rsid w:val="004F1F0C"/>
    <w:rsid w:val="004F2296"/>
    <w:rsid w:val="004F22D2"/>
    <w:rsid w:val="004F2F31"/>
    <w:rsid w:val="004F33A9"/>
    <w:rsid w:val="004F38A8"/>
    <w:rsid w:val="004F3912"/>
    <w:rsid w:val="004F3C4D"/>
    <w:rsid w:val="004F3C7B"/>
    <w:rsid w:val="004F44A3"/>
    <w:rsid w:val="004F4772"/>
    <w:rsid w:val="004F5ADA"/>
    <w:rsid w:val="004F5E06"/>
    <w:rsid w:val="004F6315"/>
    <w:rsid w:val="004F63A9"/>
    <w:rsid w:val="004F63C8"/>
    <w:rsid w:val="004F6F75"/>
    <w:rsid w:val="004F70CE"/>
    <w:rsid w:val="004F72C7"/>
    <w:rsid w:val="004F7F33"/>
    <w:rsid w:val="0050069F"/>
    <w:rsid w:val="00500736"/>
    <w:rsid w:val="00500BB1"/>
    <w:rsid w:val="00501C34"/>
    <w:rsid w:val="0050226F"/>
    <w:rsid w:val="00502B79"/>
    <w:rsid w:val="00502DD5"/>
    <w:rsid w:val="00503316"/>
    <w:rsid w:val="00503422"/>
    <w:rsid w:val="00503A04"/>
    <w:rsid w:val="005048E5"/>
    <w:rsid w:val="00504F32"/>
    <w:rsid w:val="00505016"/>
    <w:rsid w:val="00505F80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F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4AB"/>
    <w:rsid w:val="005247B3"/>
    <w:rsid w:val="00524DB0"/>
    <w:rsid w:val="00524E31"/>
    <w:rsid w:val="0052564B"/>
    <w:rsid w:val="00525BB0"/>
    <w:rsid w:val="00525D3F"/>
    <w:rsid w:val="00525DDE"/>
    <w:rsid w:val="00526153"/>
    <w:rsid w:val="00526BF8"/>
    <w:rsid w:val="00527B42"/>
    <w:rsid w:val="00527D2E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0D9F"/>
    <w:rsid w:val="0054135D"/>
    <w:rsid w:val="00541411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DC3"/>
    <w:rsid w:val="00547E51"/>
    <w:rsid w:val="0055145D"/>
    <w:rsid w:val="005518F6"/>
    <w:rsid w:val="00551BD4"/>
    <w:rsid w:val="0055206F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D66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660"/>
    <w:rsid w:val="00581D42"/>
    <w:rsid w:val="00581FCB"/>
    <w:rsid w:val="005820B0"/>
    <w:rsid w:val="0058229E"/>
    <w:rsid w:val="00583472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87FF4"/>
    <w:rsid w:val="005901DB"/>
    <w:rsid w:val="005904E0"/>
    <w:rsid w:val="00590E17"/>
    <w:rsid w:val="0059127D"/>
    <w:rsid w:val="00591645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140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633"/>
    <w:rsid w:val="005A5CB3"/>
    <w:rsid w:val="005A6D2B"/>
    <w:rsid w:val="005A729A"/>
    <w:rsid w:val="005A73DE"/>
    <w:rsid w:val="005A7426"/>
    <w:rsid w:val="005A767A"/>
    <w:rsid w:val="005A782E"/>
    <w:rsid w:val="005A7E9C"/>
    <w:rsid w:val="005B06C1"/>
    <w:rsid w:val="005B08A9"/>
    <w:rsid w:val="005B097B"/>
    <w:rsid w:val="005B0A58"/>
    <w:rsid w:val="005B0BBE"/>
    <w:rsid w:val="005B0E74"/>
    <w:rsid w:val="005B0FA2"/>
    <w:rsid w:val="005B1069"/>
    <w:rsid w:val="005B10F7"/>
    <w:rsid w:val="005B1BD8"/>
    <w:rsid w:val="005B1C38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5855"/>
    <w:rsid w:val="005B5DCE"/>
    <w:rsid w:val="005B65CF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553A"/>
    <w:rsid w:val="005C609C"/>
    <w:rsid w:val="005C6254"/>
    <w:rsid w:val="005C659F"/>
    <w:rsid w:val="005C72C8"/>
    <w:rsid w:val="005C7DF7"/>
    <w:rsid w:val="005D097C"/>
    <w:rsid w:val="005D0B5D"/>
    <w:rsid w:val="005D0FBF"/>
    <w:rsid w:val="005D13E7"/>
    <w:rsid w:val="005D1E89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806"/>
    <w:rsid w:val="005D7F1F"/>
    <w:rsid w:val="005E023A"/>
    <w:rsid w:val="005E08A0"/>
    <w:rsid w:val="005E0FE9"/>
    <w:rsid w:val="005E1040"/>
    <w:rsid w:val="005E12CD"/>
    <w:rsid w:val="005E167C"/>
    <w:rsid w:val="005E1D75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0A2"/>
    <w:rsid w:val="005E7345"/>
    <w:rsid w:val="005E7B7A"/>
    <w:rsid w:val="005F0057"/>
    <w:rsid w:val="005F0308"/>
    <w:rsid w:val="005F052B"/>
    <w:rsid w:val="005F07C4"/>
    <w:rsid w:val="005F165F"/>
    <w:rsid w:val="005F1935"/>
    <w:rsid w:val="005F1CD9"/>
    <w:rsid w:val="005F2501"/>
    <w:rsid w:val="005F295E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236"/>
    <w:rsid w:val="006026D0"/>
    <w:rsid w:val="0060294B"/>
    <w:rsid w:val="00602C5A"/>
    <w:rsid w:val="00602DBA"/>
    <w:rsid w:val="00603994"/>
    <w:rsid w:val="00603D8F"/>
    <w:rsid w:val="00603D9A"/>
    <w:rsid w:val="00603DFF"/>
    <w:rsid w:val="006043E1"/>
    <w:rsid w:val="0060483B"/>
    <w:rsid w:val="00604A3A"/>
    <w:rsid w:val="00604C41"/>
    <w:rsid w:val="00605182"/>
    <w:rsid w:val="0060526C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D9F"/>
    <w:rsid w:val="00607F47"/>
    <w:rsid w:val="006100A1"/>
    <w:rsid w:val="00610451"/>
    <w:rsid w:val="0061046D"/>
    <w:rsid w:val="00610B59"/>
    <w:rsid w:val="00610F8A"/>
    <w:rsid w:val="00610F8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67C"/>
    <w:rsid w:val="00613869"/>
    <w:rsid w:val="00613E13"/>
    <w:rsid w:val="006140DB"/>
    <w:rsid w:val="006144C6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19D"/>
    <w:rsid w:val="006266F4"/>
    <w:rsid w:val="00626813"/>
    <w:rsid w:val="006268B4"/>
    <w:rsid w:val="006269C2"/>
    <w:rsid w:val="00626D1C"/>
    <w:rsid w:val="00626DEA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FD9"/>
    <w:rsid w:val="0063663E"/>
    <w:rsid w:val="00636AA8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745"/>
    <w:rsid w:val="00641E7F"/>
    <w:rsid w:val="00641EDA"/>
    <w:rsid w:val="006421AF"/>
    <w:rsid w:val="0064284D"/>
    <w:rsid w:val="00643740"/>
    <w:rsid w:val="006440E7"/>
    <w:rsid w:val="006446ED"/>
    <w:rsid w:val="006451A3"/>
    <w:rsid w:val="0064521D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EE"/>
    <w:rsid w:val="006500C1"/>
    <w:rsid w:val="00650904"/>
    <w:rsid w:val="00650F0B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7056A"/>
    <w:rsid w:val="00670A2A"/>
    <w:rsid w:val="00670E78"/>
    <w:rsid w:val="00671495"/>
    <w:rsid w:val="00671E53"/>
    <w:rsid w:val="006720C6"/>
    <w:rsid w:val="00672885"/>
    <w:rsid w:val="00672AAB"/>
    <w:rsid w:val="00673428"/>
    <w:rsid w:val="00673E79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6132"/>
    <w:rsid w:val="0067637A"/>
    <w:rsid w:val="006768DA"/>
    <w:rsid w:val="00677312"/>
    <w:rsid w:val="00677519"/>
    <w:rsid w:val="0067782E"/>
    <w:rsid w:val="00677B73"/>
    <w:rsid w:val="006801D1"/>
    <w:rsid w:val="00680453"/>
    <w:rsid w:val="00680A7D"/>
    <w:rsid w:val="00680C7B"/>
    <w:rsid w:val="00680DB0"/>
    <w:rsid w:val="00680DF4"/>
    <w:rsid w:val="006810CE"/>
    <w:rsid w:val="006811B5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4F27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455"/>
    <w:rsid w:val="006906FC"/>
    <w:rsid w:val="00690707"/>
    <w:rsid w:val="006907E7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51DB"/>
    <w:rsid w:val="00695C58"/>
    <w:rsid w:val="00695FDA"/>
    <w:rsid w:val="00696D9D"/>
    <w:rsid w:val="00696E4F"/>
    <w:rsid w:val="00697804"/>
    <w:rsid w:val="00697873"/>
    <w:rsid w:val="006978FE"/>
    <w:rsid w:val="00697994"/>
    <w:rsid w:val="00697B3B"/>
    <w:rsid w:val="006A01D1"/>
    <w:rsid w:val="006A0DAD"/>
    <w:rsid w:val="006A15C9"/>
    <w:rsid w:val="006A16B7"/>
    <w:rsid w:val="006A1752"/>
    <w:rsid w:val="006A179A"/>
    <w:rsid w:val="006A21F7"/>
    <w:rsid w:val="006A224E"/>
    <w:rsid w:val="006A24FB"/>
    <w:rsid w:val="006A2A0F"/>
    <w:rsid w:val="006A34AE"/>
    <w:rsid w:val="006A39A8"/>
    <w:rsid w:val="006A3A5F"/>
    <w:rsid w:val="006A3C73"/>
    <w:rsid w:val="006A400E"/>
    <w:rsid w:val="006A4C0E"/>
    <w:rsid w:val="006A5133"/>
    <w:rsid w:val="006A527B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8FE"/>
    <w:rsid w:val="006A7A50"/>
    <w:rsid w:val="006B0C39"/>
    <w:rsid w:val="006B10FF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214"/>
    <w:rsid w:val="006B5A05"/>
    <w:rsid w:val="006B5A79"/>
    <w:rsid w:val="006B60DE"/>
    <w:rsid w:val="006B61B3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34"/>
    <w:rsid w:val="006C14BA"/>
    <w:rsid w:val="006C1651"/>
    <w:rsid w:val="006C2C9F"/>
    <w:rsid w:val="006C335A"/>
    <w:rsid w:val="006C3F7B"/>
    <w:rsid w:val="006C4018"/>
    <w:rsid w:val="006C41DF"/>
    <w:rsid w:val="006C476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66"/>
    <w:rsid w:val="006D196A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61AD"/>
    <w:rsid w:val="006D68C5"/>
    <w:rsid w:val="006D6993"/>
    <w:rsid w:val="006D7493"/>
    <w:rsid w:val="006D75DD"/>
    <w:rsid w:val="006D75FF"/>
    <w:rsid w:val="006D7A9C"/>
    <w:rsid w:val="006E04BE"/>
    <w:rsid w:val="006E168B"/>
    <w:rsid w:val="006E1A3A"/>
    <w:rsid w:val="006E1BB1"/>
    <w:rsid w:val="006E1E0D"/>
    <w:rsid w:val="006E2255"/>
    <w:rsid w:val="006E2F5B"/>
    <w:rsid w:val="006E2FCC"/>
    <w:rsid w:val="006E3089"/>
    <w:rsid w:val="006E3625"/>
    <w:rsid w:val="006E37AE"/>
    <w:rsid w:val="006E3C31"/>
    <w:rsid w:val="006E49ED"/>
    <w:rsid w:val="006E4C23"/>
    <w:rsid w:val="006E56F1"/>
    <w:rsid w:val="006E571D"/>
    <w:rsid w:val="006E5720"/>
    <w:rsid w:val="006E5C5D"/>
    <w:rsid w:val="006E6E80"/>
    <w:rsid w:val="006E7218"/>
    <w:rsid w:val="006E744C"/>
    <w:rsid w:val="006E7621"/>
    <w:rsid w:val="006E7853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71DB"/>
    <w:rsid w:val="006F7EBF"/>
    <w:rsid w:val="007016D4"/>
    <w:rsid w:val="00701A75"/>
    <w:rsid w:val="00701A77"/>
    <w:rsid w:val="00701F67"/>
    <w:rsid w:val="00702207"/>
    <w:rsid w:val="00702C1E"/>
    <w:rsid w:val="00702F95"/>
    <w:rsid w:val="0070395F"/>
    <w:rsid w:val="00703A16"/>
    <w:rsid w:val="00703E97"/>
    <w:rsid w:val="007042D1"/>
    <w:rsid w:val="00704E1D"/>
    <w:rsid w:val="00704FB9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2CA6"/>
    <w:rsid w:val="00713715"/>
    <w:rsid w:val="00714D78"/>
    <w:rsid w:val="00714F95"/>
    <w:rsid w:val="00716169"/>
    <w:rsid w:val="0071642C"/>
    <w:rsid w:val="00716622"/>
    <w:rsid w:val="00716719"/>
    <w:rsid w:val="00717214"/>
    <w:rsid w:val="007172AD"/>
    <w:rsid w:val="0072047E"/>
    <w:rsid w:val="007207EE"/>
    <w:rsid w:val="00721621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7F7"/>
    <w:rsid w:val="0072683D"/>
    <w:rsid w:val="00726F9F"/>
    <w:rsid w:val="007270E0"/>
    <w:rsid w:val="007275DF"/>
    <w:rsid w:val="0072760D"/>
    <w:rsid w:val="00727AA2"/>
    <w:rsid w:val="00727BD4"/>
    <w:rsid w:val="00727C6F"/>
    <w:rsid w:val="00727DE0"/>
    <w:rsid w:val="0073005A"/>
    <w:rsid w:val="00730790"/>
    <w:rsid w:val="007307FE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4156"/>
    <w:rsid w:val="007342AB"/>
    <w:rsid w:val="00734453"/>
    <w:rsid w:val="00734A21"/>
    <w:rsid w:val="00734DD4"/>
    <w:rsid w:val="00734E28"/>
    <w:rsid w:val="0073512C"/>
    <w:rsid w:val="00735AC5"/>
    <w:rsid w:val="0073678D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A45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700A6"/>
    <w:rsid w:val="00770165"/>
    <w:rsid w:val="00770E43"/>
    <w:rsid w:val="007714CB"/>
    <w:rsid w:val="007714FB"/>
    <w:rsid w:val="00771681"/>
    <w:rsid w:val="007718B3"/>
    <w:rsid w:val="00772144"/>
    <w:rsid w:val="00772197"/>
    <w:rsid w:val="007724CA"/>
    <w:rsid w:val="007725FB"/>
    <w:rsid w:val="00772B27"/>
    <w:rsid w:val="00773122"/>
    <w:rsid w:val="007736DD"/>
    <w:rsid w:val="007737A9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4D6C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C37"/>
    <w:rsid w:val="00791D0C"/>
    <w:rsid w:val="00791D31"/>
    <w:rsid w:val="007920D4"/>
    <w:rsid w:val="00792AF0"/>
    <w:rsid w:val="00793785"/>
    <w:rsid w:val="00794047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4B0"/>
    <w:rsid w:val="007B062A"/>
    <w:rsid w:val="007B06D9"/>
    <w:rsid w:val="007B084B"/>
    <w:rsid w:val="007B0A2F"/>
    <w:rsid w:val="007B1B88"/>
    <w:rsid w:val="007B2080"/>
    <w:rsid w:val="007B2689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D92"/>
    <w:rsid w:val="007C36D9"/>
    <w:rsid w:val="007C3E78"/>
    <w:rsid w:val="007C41C8"/>
    <w:rsid w:val="007C41C9"/>
    <w:rsid w:val="007C4532"/>
    <w:rsid w:val="007C4A02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DA2"/>
    <w:rsid w:val="007E4FC8"/>
    <w:rsid w:val="007E50DF"/>
    <w:rsid w:val="007E55D6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218E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62A"/>
    <w:rsid w:val="007F7652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A2B"/>
    <w:rsid w:val="00806B0E"/>
    <w:rsid w:val="00806C84"/>
    <w:rsid w:val="00807763"/>
    <w:rsid w:val="00807A2C"/>
    <w:rsid w:val="00807A33"/>
    <w:rsid w:val="00810061"/>
    <w:rsid w:val="008105A8"/>
    <w:rsid w:val="00810766"/>
    <w:rsid w:val="00810920"/>
    <w:rsid w:val="00810AE4"/>
    <w:rsid w:val="008111C6"/>
    <w:rsid w:val="00811366"/>
    <w:rsid w:val="00811E6A"/>
    <w:rsid w:val="00812572"/>
    <w:rsid w:val="00812A9F"/>
    <w:rsid w:val="008133B9"/>
    <w:rsid w:val="008146A2"/>
    <w:rsid w:val="0081482E"/>
    <w:rsid w:val="00814BCC"/>
    <w:rsid w:val="008156D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A17"/>
    <w:rsid w:val="00821225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903"/>
    <w:rsid w:val="0082686E"/>
    <w:rsid w:val="00826CCB"/>
    <w:rsid w:val="00826E1C"/>
    <w:rsid w:val="00827443"/>
    <w:rsid w:val="008279C6"/>
    <w:rsid w:val="00827ADE"/>
    <w:rsid w:val="00830B4C"/>
    <w:rsid w:val="00830D72"/>
    <w:rsid w:val="00831044"/>
    <w:rsid w:val="008310D1"/>
    <w:rsid w:val="00831896"/>
    <w:rsid w:val="0083271F"/>
    <w:rsid w:val="00832B49"/>
    <w:rsid w:val="00832C4D"/>
    <w:rsid w:val="00832D9C"/>
    <w:rsid w:val="00832F8B"/>
    <w:rsid w:val="008330C7"/>
    <w:rsid w:val="00833284"/>
    <w:rsid w:val="0083332F"/>
    <w:rsid w:val="008348DC"/>
    <w:rsid w:val="008349F7"/>
    <w:rsid w:val="008357D4"/>
    <w:rsid w:val="00835FA7"/>
    <w:rsid w:val="00836FC2"/>
    <w:rsid w:val="0083799E"/>
    <w:rsid w:val="00837AD9"/>
    <w:rsid w:val="00837F5B"/>
    <w:rsid w:val="00840252"/>
    <w:rsid w:val="008402F3"/>
    <w:rsid w:val="00840D3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499C"/>
    <w:rsid w:val="008659F6"/>
    <w:rsid w:val="00866F83"/>
    <w:rsid w:val="00867412"/>
    <w:rsid w:val="008675E7"/>
    <w:rsid w:val="00867AEB"/>
    <w:rsid w:val="0087011F"/>
    <w:rsid w:val="008704A9"/>
    <w:rsid w:val="0087067F"/>
    <w:rsid w:val="00870F74"/>
    <w:rsid w:val="00871529"/>
    <w:rsid w:val="008716CF"/>
    <w:rsid w:val="00871779"/>
    <w:rsid w:val="00871E7A"/>
    <w:rsid w:val="00871E81"/>
    <w:rsid w:val="0087215B"/>
    <w:rsid w:val="0087260B"/>
    <w:rsid w:val="00872DFE"/>
    <w:rsid w:val="00874093"/>
    <w:rsid w:val="00874200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800C8"/>
    <w:rsid w:val="00880B14"/>
    <w:rsid w:val="00880FBF"/>
    <w:rsid w:val="008810F1"/>
    <w:rsid w:val="0088170F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2C2"/>
    <w:rsid w:val="0089563F"/>
    <w:rsid w:val="00895DFC"/>
    <w:rsid w:val="008963DF"/>
    <w:rsid w:val="008967C5"/>
    <w:rsid w:val="008968C6"/>
    <w:rsid w:val="0089728B"/>
    <w:rsid w:val="00897373"/>
    <w:rsid w:val="0089759A"/>
    <w:rsid w:val="008A038D"/>
    <w:rsid w:val="008A100F"/>
    <w:rsid w:val="008A1356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549"/>
    <w:rsid w:val="008B2471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46C"/>
    <w:rsid w:val="008B563C"/>
    <w:rsid w:val="008B5897"/>
    <w:rsid w:val="008B5CFE"/>
    <w:rsid w:val="008B60C0"/>
    <w:rsid w:val="008B637D"/>
    <w:rsid w:val="008B6A97"/>
    <w:rsid w:val="008B6FF5"/>
    <w:rsid w:val="008B71B9"/>
    <w:rsid w:val="008B75B4"/>
    <w:rsid w:val="008C025A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667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F3D"/>
    <w:rsid w:val="008D66D7"/>
    <w:rsid w:val="008D6A9C"/>
    <w:rsid w:val="008D6B54"/>
    <w:rsid w:val="008D6E67"/>
    <w:rsid w:val="008D79B1"/>
    <w:rsid w:val="008D7A6E"/>
    <w:rsid w:val="008D7D18"/>
    <w:rsid w:val="008E03B1"/>
    <w:rsid w:val="008E07F4"/>
    <w:rsid w:val="008E0983"/>
    <w:rsid w:val="008E0ACB"/>
    <w:rsid w:val="008E2353"/>
    <w:rsid w:val="008E259D"/>
    <w:rsid w:val="008E25B9"/>
    <w:rsid w:val="008E29C2"/>
    <w:rsid w:val="008E2DCC"/>
    <w:rsid w:val="008E2EF5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97"/>
    <w:rsid w:val="008F1BF5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AD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A91"/>
    <w:rsid w:val="00906FDA"/>
    <w:rsid w:val="00907C3D"/>
    <w:rsid w:val="0091016E"/>
    <w:rsid w:val="00910631"/>
    <w:rsid w:val="00911941"/>
    <w:rsid w:val="00912A20"/>
    <w:rsid w:val="009131A2"/>
    <w:rsid w:val="00913608"/>
    <w:rsid w:val="009137BC"/>
    <w:rsid w:val="00913C33"/>
    <w:rsid w:val="009141E8"/>
    <w:rsid w:val="00914F38"/>
    <w:rsid w:val="00915153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0DAE"/>
    <w:rsid w:val="00921BD2"/>
    <w:rsid w:val="00922336"/>
    <w:rsid w:val="00922A33"/>
    <w:rsid w:val="00922C75"/>
    <w:rsid w:val="00923669"/>
    <w:rsid w:val="00924167"/>
    <w:rsid w:val="00924A90"/>
    <w:rsid w:val="00924C93"/>
    <w:rsid w:val="00924C96"/>
    <w:rsid w:val="009253F3"/>
    <w:rsid w:val="00925E16"/>
    <w:rsid w:val="009262E4"/>
    <w:rsid w:val="0092799D"/>
    <w:rsid w:val="00930098"/>
    <w:rsid w:val="009301E5"/>
    <w:rsid w:val="0093061F"/>
    <w:rsid w:val="00930F0E"/>
    <w:rsid w:val="009313D6"/>
    <w:rsid w:val="00931927"/>
    <w:rsid w:val="00931F71"/>
    <w:rsid w:val="00932116"/>
    <w:rsid w:val="0093217D"/>
    <w:rsid w:val="009324C2"/>
    <w:rsid w:val="009327E3"/>
    <w:rsid w:val="009328B4"/>
    <w:rsid w:val="00932B95"/>
    <w:rsid w:val="00932C98"/>
    <w:rsid w:val="00932D17"/>
    <w:rsid w:val="009331D6"/>
    <w:rsid w:val="009339A2"/>
    <w:rsid w:val="0093433B"/>
    <w:rsid w:val="0093475C"/>
    <w:rsid w:val="00934CF1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B2B"/>
    <w:rsid w:val="00941B34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B72"/>
    <w:rsid w:val="00945C6C"/>
    <w:rsid w:val="009460B1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6FC"/>
    <w:rsid w:val="00957CC4"/>
    <w:rsid w:val="00957D2E"/>
    <w:rsid w:val="00960587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7384"/>
    <w:rsid w:val="009674F5"/>
    <w:rsid w:val="00967787"/>
    <w:rsid w:val="00967DEB"/>
    <w:rsid w:val="00971DE1"/>
    <w:rsid w:val="009720A9"/>
    <w:rsid w:val="009723CD"/>
    <w:rsid w:val="00972462"/>
    <w:rsid w:val="00973160"/>
    <w:rsid w:val="0097388B"/>
    <w:rsid w:val="00973BD9"/>
    <w:rsid w:val="0097443A"/>
    <w:rsid w:val="009744E3"/>
    <w:rsid w:val="0097459B"/>
    <w:rsid w:val="00974B6A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5DD2"/>
    <w:rsid w:val="009C6625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2BA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AFA"/>
    <w:rsid w:val="009D4BE0"/>
    <w:rsid w:val="009D4D47"/>
    <w:rsid w:val="009D4FDB"/>
    <w:rsid w:val="009D5008"/>
    <w:rsid w:val="009D58D4"/>
    <w:rsid w:val="009D5923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20D"/>
    <w:rsid w:val="009E3C41"/>
    <w:rsid w:val="009E406C"/>
    <w:rsid w:val="009E4127"/>
    <w:rsid w:val="009E4CE3"/>
    <w:rsid w:val="009E4D29"/>
    <w:rsid w:val="009E504A"/>
    <w:rsid w:val="009E588B"/>
    <w:rsid w:val="009E685E"/>
    <w:rsid w:val="009E687E"/>
    <w:rsid w:val="009E6AA9"/>
    <w:rsid w:val="009E6ED8"/>
    <w:rsid w:val="009E7BF7"/>
    <w:rsid w:val="009E7F4E"/>
    <w:rsid w:val="009F0D3D"/>
    <w:rsid w:val="009F3234"/>
    <w:rsid w:val="009F34EB"/>
    <w:rsid w:val="009F351F"/>
    <w:rsid w:val="009F35D2"/>
    <w:rsid w:val="009F3888"/>
    <w:rsid w:val="009F3A71"/>
    <w:rsid w:val="009F3E12"/>
    <w:rsid w:val="009F44DD"/>
    <w:rsid w:val="009F4799"/>
    <w:rsid w:val="009F4924"/>
    <w:rsid w:val="009F552A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06E7"/>
    <w:rsid w:val="00A00C1C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6912"/>
    <w:rsid w:val="00A069BB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F03"/>
    <w:rsid w:val="00A122F1"/>
    <w:rsid w:val="00A12881"/>
    <w:rsid w:val="00A12BA0"/>
    <w:rsid w:val="00A12BCF"/>
    <w:rsid w:val="00A12BE7"/>
    <w:rsid w:val="00A13971"/>
    <w:rsid w:val="00A13A0C"/>
    <w:rsid w:val="00A13BD2"/>
    <w:rsid w:val="00A13C93"/>
    <w:rsid w:val="00A14539"/>
    <w:rsid w:val="00A14955"/>
    <w:rsid w:val="00A14C5B"/>
    <w:rsid w:val="00A14F6C"/>
    <w:rsid w:val="00A15C9C"/>
    <w:rsid w:val="00A15E05"/>
    <w:rsid w:val="00A160A6"/>
    <w:rsid w:val="00A1654E"/>
    <w:rsid w:val="00A16D59"/>
    <w:rsid w:val="00A16F62"/>
    <w:rsid w:val="00A1794F"/>
    <w:rsid w:val="00A205D3"/>
    <w:rsid w:val="00A21048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51A"/>
    <w:rsid w:val="00A27534"/>
    <w:rsid w:val="00A305AE"/>
    <w:rsid w:val="00A312C7"/>
    <w:rsid w:val="00A31703"/>
    <w:rsid w:val="00A31F02"/>
    <w:rsid w:val="00A31FFD"/>
    <w:rsid w:val="00A329A5"/>
    <w:rsid w:val="00A32B92"/>
    <w:rsid w:val="00A32F43"/>
    <w:rsid w:val="00A33152"/>
    <w:rsid w:val="00A33CA2"/>
    <w:rsid w:val="00A342B7"/>
    <w:rsid w:val="00A354EA"/>
    <w:rsid w:val="00A35826"/>
    <w:rsid w:val="00A35C0E"/>
    <w:rsid w:val="00A35E2F"/>
    <w:rsid w:val="00A3619E"/>
    <w:rsid w:val="00A3688D"/>
    <w:rsid w:val="00A36986"/>
    <w:rsid w:val="00A36FB9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7D4"/>
    <w:rsid w:val="00A44928"/>
    <w:rsid w:val="00A46241"/>
    <w:rsid w:val="00A46650"/>
    <w:rsid w:val="00A46A16"/>
    <w:rsid w:val="00A46A8C"/>
    <w:rsid w:val="00A46C73"/>
    <w:rsid w:val="00A46CDE"/>
    <w:rsid w:val="00A47915"/>
    <w:rsid w:val="00A5022B"/>
    <w:rsid w:val="00A50887"/>
    <w:rsid w:val="00A50B2E"/>
    <w:rsid w:val="00A51568"/>
    <w:rsid w:val="00A522AF"/>
    <w:rsid w:val="00A523F3"/>
    <w:rsid w:val="00A524C8"/>
    <w:rsid w:val="00A526F2"/>
    <w:rsid w:val="00A52BCE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751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A32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717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6F3F"/>
    <w:rsid w:val="00A8701E"/>
    <w:rsid w:val="00A874B5"/>
    <w:rsid w:val="00A877EC"/>
    <w:rsid w:val="00A8785B"/>
    <w:rsid w:val="00A87EA3"/>
    <w:rsid w:val="00A90128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CC6"/>
    <w:rsid w:val="00AA5FF3"/>
    <w:rsid w:val="00AA690C"/>
    <w:rsid w:val="00AA6BE5"/>
    <w:rsid w:val="00AA710F"/>
    <w:rsid w:val="00AA7650"/>
    <w:rsid w:val="00AB08B1"/>
    <w:rsid w:val="00AB144D"/>
    <w:rsid w:val="00AB14FD"/>
    <w:rsid w:val="00AB158E"/>
    <w:rsid w:val="00AB18F0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A35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DD8"/>
    <w:rsid w:val="00AC619E"/>
    <w:rsid w:val="00AC66AD"/>
    <w:rsid w:val="00AC678D"/>
    <w:rsid w:val="00AC694E"/>
    <w:rsid w:val="00AC6EA7"/>
    <w:rsid w:val="00AC73EE"/>
    <w:rsid w:val="00AD02A0"/>
    <w:rsid w:val="00AD0BE9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06D"/>
    <w:rsid w:val="00AD53EF"/>
    <w:rsid w:val="00AD56DD"/>
    <w:rsid w:val="00AD5B4F"/>
    <w:rsid w:val="00AD606A"/>
    <w:rsid w:val="00AD6FA9"/>
    <w:rsid w:val="00AD7264"/>
    <w:rsid w:val="00AD74E2"/>
    <w:rsid w:val="00AD7563"/>
    <w:rsid w:val="00AE0403"/>
    <w:rsid w:val="00AE084D"/>
    <w:rsid w:val="00AE0CEA"/>
    <w:rsid w:val="00AE1069"/>
    <w:rsid w:val="00AE1167"/>
    <w:rsid w:val="00AE2A91"/>
    <w:rsid w:val="00AE2AF9"/>
    <w:rsid w:val="00AE335F"/>
    <w:rsid w:val="00AE34B5"/>
    <w:rsid w:val="00AE474D"/>
    <w:rsid w:val="00AE4CEE"/>
    <w:rsid w:val="00AE5068"/>
    <w:rsid w:val="00AE566E"/>
    <w:rsid w:val="00AE5BBB"/>
    <w:rsid w:val="00AE6BAE"/>
    <w:rsid w:val="00AE6F99"/>
    <w:rsid w:val="00AE715C"/>
    <w:rsid w:val="00AE732D"/>
    <w:rsid w:val="00AE771A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A26"/>
    <w:rsid w:val="00AF4D45"/>
    <w:rsid w:val="00AF4E4A"/>
    <w:rsid w:val="00AF5C47"/>
    <w:rsid w:val="00AF61D3"/>
    <w:rsid w:val="00AF6493"/>
    <w:rsid w:val="00AF65E2"/>
    <w:rsid w:val="00AF69F6"/>
    <w:rsid w:val="00AF7042"/>
    <w:rsid w:val="00AF74CF"/>
    <w:rsid w:val="00AF76DF"/>
    <w:rsid w:val="00B00311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459C"/>
    <w:rsid w:val="00B04660"/>
    <w:rsid w:val="00B04D59"/>
    <w:rsid w:val="00B05086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717"/>
    <w:rsid w:val="00B107A9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B0D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112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32C5"/>
    <w:rsid w:val="00B24672"/>
    <w:rsid w:val="00B24F45"/>
    <w:rsid w:val="00B25123"/>
    <w:rsid w:val="00B252D7"/>
    <w:rsid w:val="00B25659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BCB"/>
    <w:rsid w:val="00B57C1C"/>
    <w:rsid w:val="00B57FC7"/>
    <w:rsid w:val="00B60C69"/>
    <w:rsid w:val="00B60DBD"/>
    <w:rsid w:val="00B61010"/>
    <w:rsid w:val="00B61306"/>
    <w:rsid w:val="00B61A49"/>
    <w:rsid w:val="00B6324B"/>
    <w:rsid w:val="00B63E23"/>
    <w:rsid w:val="00B63F71"/>
    <w:rsid w:val="00B64321"/>
    <w:rsid w:val="00B649B9"/>
    <w:rsid w:val="00B64DF0"/>
    <w:rsid w:val="00B64EF1"/>
    <w:rsid w:val="00B65265"/>
    <w:rsid w:val="00B6530D"/>
    <w:rsid w:val="00B656D7"/>
    <w:rsid w:val="00B6590B"/>
    <w:rsid w:val="00B65AE1"/>
    <w:rsid w:val="00B65B6B"/>
    <w:rsid w:val="00B665FF"/>
    <w:rsid w:val="00B66F9C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4BF"/>
    <w:rsid w:val="00B715B4"/>
    <w:rsid w:val="00B718F0"/>
    <w:rsid w:val="00B726B7"/>
    <w:rsid w:val="00B72E8A"/>
    <w:rsid w:val="00B72F76"/>
    <w:rsid w:val="00B730B6"/>
    <w:rsid w:val="00B73115"/>
    <w:rsid w:val="00B732BC"/>
    <w:rsid w:val="00B735C6"/>
    <w:rsid w:val="00B7384F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18D"/>
    <w:rsid w:val="00B804B0"/>
    <w:rsid w:val="00B805BB"/>
    <w:rsid w:val="00B8078D"/>
    <w:rsid w:val="00B80C55"/>
    <w:rsid w:val="00B80FD3"/>
    <w:rsid w:val="00B811F2"/>
    <w:rsid w:val="00B812E5"/>
    <w:rsid w:val="00B81BFA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87BE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50F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374"/>
    <w:rsid w:val="00B96B9D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B7"/>
    <w:rsid w:val="00BB2123"/>
    <w:rsid w:val="00BB27CB"/>
    <w:rsid w:val="00BB2BA9"/>
    <w:rsid w:val="00BB2DAC"/>
    <w:rsid w:val="00BB34FE"/>
    <w:rsid w:val="00BB382B"/>
    <w:rsid w:val="00BB3B26"/>
    <w:rsid w:val="00BB3D37"/>
    <w:rsid w:val="00BB41B8"/>
    <w:rsid w:val="00BB4BF3"/>
    <w:rsid w:val="00BB5DB9"/>
    <w:rsid w:val="00BB62F8"/>
    <w:rsid w:val="00BB653F"/>
    <w:rsid w:val="00BB6928"/>
    <w:rsid w:val="00BB738D"/>
    <w:rsid w:val="00BB7549"/>
    <w:rsid w:val="00BB798E"/>
    <w:rsid w:val="00BB7D06"/>
    <w:rsid w:val="00BC078D"/>
    <w:rsid w:val="00BC0A33"/>
    <w:rsid w:val="00BC12E3"/>
    <w:rsid w:val="00BC136D"/>
    <w:rsid w:val="00BC1811"/>
    <w:rsid w:val="00BC1AB8"/>
    <w:rsid w:val="00BC1AC0"/>
    <w:rsid w:val="00BC1D25"/>
    <w:rsid w:val="00BC28AD"/>
    <w:rsid w:val="00BC2FAA"/>
    <w:rsid w:val="00BC31BA"/>
    <w:rsid w:val="00BC39AC"/>
    <w:rsid w:val="00BC44A0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668"/>
    <w:rsid w:val="00BD1928"/>
    <w:rsid w:val="00BD294C"/>
    <w:rsid w:val="00BD2C91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4FE9"/>
    <w:rsid w:val="00BD57A5"/>
    <w:rsid w:val="00BD5F1B"/>
    <w:rsid w:val="00BD65DC"/>
    <w:rsid w:val="00BE081A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2B5"/>
    <w:rsid w:val="00BE45AE"/>
    <w:rsid w:val="00BE4E93"/>
    <w:rsid w:val="00BE5411"/>
    <w:rsid w:val="00BE5520"/>
    <w:rsid w:val="00BE5D2F"/>
    <w:rsid w:val="00BE6016"/>
    <w:rsid w:val="00BE6628"/>
    <w:rsid w:val="00BE6B38"/>
    <w:rsid w:val="00BE6EA6"/>
    <w:rsid w:val="00BE6ED6"/>
    <w:rsid w:val="00BE7129"/>
    <w:rsid w:val="00BE732C"/>
    <w:rsid w:val="00BF17A3"/>
    <w:rsid w:val="00BF1D73"/>
    <w:rsid w:val="00BF1E7D"/>
    <w:rsid w:val="00BF21D2"/>
    <w:rsid w:val="00BF2264"/>
    <w:rsid w:val="00BF25A8"/>
    <w:rsid w:val="00BF3085"/>
    <w:rsid w:val="00BF332E"/>
    <w:rsid w:val="00BF362D"/>
    <w:rsid w:val="00BF3740"/>
    <w:rsid w:val="00BF3EF1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AF9"/>
    <w:rsid w:val="00BF7FB0"/>
    <w:rsid w:val="00C003F4"/>
    <w:rsid w:val="00C004F3"/>
    <w:rsid w:val="00C008B2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53DA"/>
    <w:rsid w:val="00C0585F"/>
    <w:rsid w:val="00C064E9"/>
    <w:rsid w:val="00C06924"/>
    <w:rsid w:val="00C06A6F"/>
    <w:rsid w:val="00C06C6D"/>
    <w:rsid w:val="00C06D92"/>
    <w:rsid w:val="00C06DBD"/>
    <w:rsid w:val="00C07564"/>
    <w:rsid w:val="00C076F0"/>
    <w:rsid w:val="00C077A1"/>
    <w:rsid w:val="00C10333"/>
    <w:rsid w:val="00C10882"/>
    <w:rsid w:val="00C10F17"/>
    <w:rsid w:val="00C116DB"/>
    <w:rsid w:val="00C11AF5"/>
    <w:rsid w:val="00C11B9A"/>
    <w:rsid w:val="00C11BE9"/>
    <w:rsid w:val="00C12070"/>
    <w:rsid w:val="00C12164"/>
    <w:rsid w:val="00C13716"/>
    <w:rsid w:val="00C137DF"/>
    <w:rsid w:val="00C13916"/>
    <w:rsid w:val="00C13BAE"/>
    <w:rsid w:val="00C13DC3"/>
    <w:rsid w:val="00C1449E"/>
    <w:rsid w:val="00C16485"/>
    <w:rsid w:val="00C1704E"/>
    <w:rsid w:val="00C170E2"/>
    <w:rsid w:val="00C17C1A"/>
    <w:rsid w:val="00C20292"/>
    <w:rsid w:val="00C20A76"/>
    <w:rsid w:val="00C20DDA"/>
    <w:rsid w:val="00C20ED6"/>
    <w:rsid w:val="00C211D2"/>
    <w:rsid w:val="00C2155B"/>
    <w:rsid w:val="00C218B1"/>
    <w:rsid w:val="00C21A0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B45"/>
    <w:rsid w:val="00C41C4D"/>
    <w:rsid w:val="00C41E38"/>
    <w:rsid w:val="00C42765"/>
    <w:rsid w:val="00C427B0"/>
    <w:rsid w:val="00C42829"/>
    <w:rsid w:val="00C429F4"/>
    <w:rsid w:val="00C42C6F"/>
    <w:rsid w:val="00C42C8B"/>
    <w:rsid w:val="00C42D64"/>
    <w:rsid w:val="00C4333D"/>
    <w:rsid w:val="00C43C47"/>
    <w:rsid w:val="00C441DF"/>
    <w:rsid w:val="00C4443E"/>
    <w:rsid w:val="00C445C6"/>
    <w:rsid w:val="00C44C88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BA"/>
    <w:rsid w:val="00C56A5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4D3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3FC0"/>
    <w:rsid w:val="00C6417C"/>
    <w:rsid w:val="00C641B8"/>
    <w:rsid w:val="00C6461E"/>
    <w:rsid w:val="00C64865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920"/>
    <w:rsid w:val="00C74FF6"/>
    <w:rsid w:val="00C75E75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15E"/>
    <w:rsid w:val="00C812A5"/>
    <w:rsid w:val="00C81A97"/>
    <w:rsid w:val="00C8208E"/>
    <w:rsid w:val="00C8261C"/>
    <w:rsid w:val="00C82818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742"/>
    <w:rsid w:val="00C87E12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F3E"/>
    <w:rsid w:val="00C95F4C"/>
    <w:rsid w:val="00C970A7"/>
    <w:rsid w:val="00C970B0"/>
    <w:rsid w:val="00C97F6F"/>
    <w:rsid w:val="00CA09D1"/>
    <w:rsid w:val="00CA0ECB"/>
    <w:rsid w:val="00CA0FC8"/>
    <w:rsid w:val="00CA1438"/>
    <w:rsid w:val="00CA1ADE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B81"/>
    <w:rsid w:val="00CC0CD3"/>
    <w:rsid w:val="00CC0D5D"/>
    <w:rsid w:val="00CC1433"/>
    <w:rsid w:val="00CC14B5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E15"/>
    <w:rsid w:val="00CD0EBA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5F5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4C4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431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2AD8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5F53"/>
    <w:rsid w:val="00D164BB"/>
    <w:rsid w:val="00D16ABA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360"/>
    <w:rsid w:val="00D24540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49A"/>
    <w:rsid w:val="00D325E5"/>
    <w:rsid w:val="00D333B9"/>
    <w:rsid w:val="00D33E3B"/>
    <w:rsid w:val="00D341DD"/>
    <w:rsid w:val="00D342FC"/>
    <w:rsid w:val="00D344DD"/>
    <w:rsid w:val="00D3486A"/>
    <w:rsid w:val="00D34C13"/>
    <w:rsid w:val="00D34DF8"/>
    <w:rsid w:val="00D35237"/>
    <w:rsid w:val="00D358C8"/>
    <w:rsid w:val="00D35EF0"/>
    <w:rsid w:val="00D374AF"/>
    <w:rsid w:val="00D37873"/>
    <w:rsid w:val="00D37BF6"/>
    <w:rsid w:val="00D37EF6"/>
    <w:rsid w:val="00D40227"/>
    <w:rsid w:val="00D405A5"/>
    <w:rsid w:val="00D41153"/>
    <w:rsid w:val="00D413E1"/>
    <w:rsid w:val="00D41564"/>
    <w:rsid w:val="00D41A34"/>
    <w:rsid w:val="00D41B89"/>
    <w:rsid w:val="00D422AA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74A"/>
    <w:rsid w:val="00D45A90"/>
    <w:rsid w:val="00D460AF"/>
    <w:rsid w:val="00D460B7"/>
    <w:rsid w:val="00D46332"/>
    <w:rsid w:val="00D46384"/>
    <w:rsid w:val="00D4673E"/>
    <w:rsid w:val="00D46EB3"/>
    <w:rsid w:val="00D4741E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6B78"/>
    <w:rsid w:val="00D575FA"/>
    <w:rsid w:val="00D577B6"/>
    <w:rsid w:val="00D5799A"/>
    <w:rsid w:val="00D57B3E"/>
    <w:rsid w:val="00D57F3C"/>
    <w:rsid w:val="00D6003B"/>
    <w:rsid w:val="00D6007C"/>
    <w:rsid w:val="00D602C1"/>
    <w:rsid w:val="00D602EA"/>
    <w:rsid w:val="00D6057F"/>
    <w:rsid w:val="00D60A09"/>
    <w:rsid w:val="00D60F9D"/>
    <w:rsid w:val="00D61566"/>
    <w:rsid w:val="00D61726"/>
    <w:rsid w:val="00D617FF"/>
    <w:rsid w:val="00D61AC4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AE7"/>
    <w:rsid w:val="00D65D1D"/>
    <w:rsid w:val="00D66053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6037"/>
    <w:rsid w:val="00D763D0"/>
    <w:rsid w:val="00D767C2"/>
    <w:rsid w:val="00D770F7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70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709"/>
    <w:rsid w:val="00DB09A2"/>
    <w:rsid w:val="00DB0B50"/>
    <w:rsid w:val="00DB0DC2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1AD"/>
    <w:rsid w:val="00DD2252"/>
    <w:rsid w:val="00DD22C4"/>
    <w:rsid w:val="00DD27F6"/>
    <w:rsid w:val="00DD3204"/>
    <w:rsid w:val="00DD352E"/>
    <w:rsid w:val="00DD3A49"/>
    <w:rsid w:val="00DD42A8"/>
    <w:rsid w:val="00DD4763"/>
    <w:rsid w:val="00DD4DB4"/>
    <w:rsid w:val="00DD5309"/>
    <w:rsid w:val="00DD5632"/>
    <w:rsid w:val="00DD61D4"/>
    <w:rsid w:val="00DD6564"/>
    <w:rsid w:val="00DD661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CE7"/>
    <w:rsid w:val="00DF3C08"/>
    <w:rsid w:val="00DF4A28"/>
    <w:rsid w:val="00DF4D63"/>
    <w:rsid w:val="00DF4E7B"/>
    <w:rsid w:val="00DF5229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01F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885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E79"/>
    <w:rsid w:val="00E11119"/>
    <w:rsid w:val="00E11303"/>
    <w:rsid w:val="00E11379"/>
    <w:rsid w:val="00E12020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2105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1538"/>
    <w:rsid w:val="00E31811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076"/>
    <w:rsid w:val="00E3416D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521"/>
    <w:rsid w:val="00E4267B"/>
    <w:rsid w:val="00E42A5F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D3B"/>
    <w:rsid w:val="00E526CB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EF3"/>
    <w:rsid w:val="00E62F95"/>
    <w:rsid w:val="00E630DF"/>
    <w:rsid w:val="00E6319F"/>
    <w:rsid w:val="00E633B0"/>
    <w:rsid w:val="00E6341D"/>
    <w:rsid w:val="00E634C4"/>
    <w:rsid w:val="00E63788"/>
    <w:rsid w:val="00E638E4"/>
    <w:rsid w:val="00E63F84"/>
    <w:rsid w:val="00E64662"/>
    <w:rsid w:val="00E649E1"/>
    <w:rsid w:val="00E652CB"/>
    <w:rsid w:val="00E655AE"/>
    <w:rsid w:val="00E655FA"/>
    <w:rsid w:val="00E65DE4"/>
    <w:rsid w:val="00E66AB0"/>
    <w:rsid w:val="00E677AA"/>
    <w:rsid w:val="00E67C8A"/>
    <w:rsid w:val="00E67D3C"/>
    <w:rsid w:val="00E70BE5"/>
    <w:rsid w:val="00E70E66"/>
    <w:rsid w:val="00E712B6"/>
    <w:rsid w:val="00E71D93"/>
    <w:rsid w:val="00E729CA"/>
    <w:rsid w:val="00E73817"/>
    <w:rsid w:val="00E74298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4282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21D"/>
    <w:rsid w:val="00E91895"/>
    <w:rsid w:val="00E91FB0"/>
    <w:rsid w:val="00E92079"/>
    <w:rsid w:val="00E92373"/>
    <w:rsid w:val="00E93208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306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20BE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5AC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D43"/>
    <w:rsid w:val="00EB37E3"/>
    <w:rsid w:val="00EB3912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204"/>
    <w:rsid w:val="00EB7523"/>
    <w:rsid w:val="00EB773D"/>
    <w:rsid w:val="00EB779D"/>
    <w:rsid w:val="00EB7B27"/>
    <w:rsid w:val="00EB7B6E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5120"/>
    <w:rsid w:val="00EC52C7"/>
    <w:rsid w:val="00EC5630"/>
    <w:rsid w:val="00EC580E"/>
    <w:rsid w:val="00EC5893"/>
    <w:rsid w:val="00EC5C1D"/>
    <w:rsid w:val="00EC6FAA"/>
    <w:rsid w:val="00EC74D0"/>
    <w:rsid w:val="00EC7DA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361"/>
    <w:rsid w:val="00EE4BEB"/>
    <w:rsid w:val="00EE4CEE"/>
    <w:rsid w:val="00EE4F97"/>
    <w:rsid w:val="00EE54CF"/>
    <w:rsid w:val="00EE679F"/>
    <w:rsid w:val="00EE716D"/>
    <w:rsid w:val="00EE7E04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691"/>
    <w:rsid w:val="00F00D7E"/>
    <w:rsid w:val="00F01224"/>
    <w:rsid w:val="00F0171B"/>
    <w:rsid w:val="00F02313"/>
    <w:rsid w:val="00F023D6"/>
    <w:rsid w:val="00F03602"/>
    <w:rsid w:val="00F03912"/>
    <w:rsid w:val="00F03D33"/>
    <w:rsid w:val="00F03F69"/>
    <w:rsid w:val="00F046B3"/>
    <w:rsid w:val="00F0474C"/>
    <w:rsid w:val="00F054F4"/>
    <w:rsid w:val="00F05641"/>
    <w:rsid w:val="00F0600E"/>
    <w:rsid w:val="00F0607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019"/>
    <w:rsid w:val="00F15692"/>
    <w:rsid w:val="00F156EF"/>
    <w:rsid w:val="00F15EE3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D95"/>
    <w:rsid w:val="00F21811"/>
    <w:rsid w:val="00F21F9A"/>
    <w:rsid w:val="00F220CD"/>
    <w:rsid w:val="00F223DB"/>
    <w:rsid w:val="00F22467"/>
    <w:rsid w:val="00F22572"/>
    <w:rsid w:val="00F2268A"/>
    <w:rsid w:val="00F22792"/>
    <w:rsid w:val="00F22BEA"/>
    <w:rsid w:val="00F22CC6"/>
    <w:rsid w:val="00F22D7B"/>
    <w:rsid w:val="00F22F77"/>
    <w:rsid w:val="00F2311E"/>
    <w:rsid w:val="00F23373"/>
    <w:rsid w:val="00F239D9"/>
    <w:rsid w:val="00F23B6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2306"/>
    <w:rsid w:val="00F32A97"/>
    <w:rsid w:val="00F33C5B"/>
    <w:rsid w:val="00F33D33"/>
    <w:rsid w:val="00F34A69"/>
    <w:rsid w:val="00F34F76"/>
    <w:rsid w:val="00F3508B"/>
    <w:rsid w:val="00F35413"/>
    <w:rsid w:val="00F360A8"/>
    <w:rsid w:val="00F372EA"/>
    <w:rsid w:val="00F376F1"/>
    <w:rsid w:val="00F377B3"/>
    <w:rsid w:val="00F37C10"/>
    <w:rsid w:val="00F37DAB"/>
    <w:rsid w:val="00F37FAF"/>
    <w:rsid w:val="00F406CA"/>
    <w:rsid w:val="00F406CB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4CC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872"/>
    <w:rsid w:val="00F63B2C"/>
    <w:rsid w:val="00F64218"/>
    <w:rsid w:val="00F645F9"/>
    <w:rsid w:val="00F64D0D"/>
    <w:rsid w:val="00F64FD8"/>
    <w:rsid w:val="00F652D4"/>
    <w:rsid w:val="00F65B4D"/>
    <w:rsid w:val="00F65B8A"/>
    <w:rsid w:val="00F65D22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5B7B"/>
    <w:rsid w:val="00F7632E"/>
    <w:rsid w:val="00F765C1"/>
    <w:rsid w:val="00F769A6"/>
    <w:rsid w:val="00F76C29"/>
    <w:rsid w:val="00F76E03"/>
    <w:rsid w:val="00F77266"/>
    <w:rsid w:val="00F776CA"/>
    <w:rsid w:val="00F77796"/>
    <w:rsid w:val="00F805E5"/>
    <w:rsid w:val="00F80BA0"/>
    <w:rsid w:val="00F80BFF"/>
    <w:rsid w:val="00F80DAB"/>
    <w:rsid w:val="00F8144F"/>
    <w:rsid w:val="00F8145A"/>
    <w:rsid w:val="00F815AA"/>
    <w:rsid w:val="00F81CB5"/>
    <w:rsid w:val="00F82710"/>
    <w:rsid w:val="00F82743"/>
    <w:rsid w:val="00F840FD"/>
    <w:rsid w:val="00F84452"/>
    <w:rsid w:val="00F845D2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966"/>
    <w:rsid w:val="00F90C14"/>
    <w:rsid w:val="00F91680"/>
    <w:rsid w:val="00F91B14"/>
    <w:rsid w:val="00F91B99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5F18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20A7"/>
    <w:rsid w:val="00FA2E4F"/>
    <w:rsid w:val="00FA30BD"/>
    <w:rsid w:val="00FA3757"/>
    <w:rsid w:val="00FA385B"/>
    <w:rsid w:val="00FA3BA4"/>
    <w:rsid w:val="00FA3DC9"/>
    <w:rsid w:val="00FA3F2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31AE"/>
    <w:rsid w:val="00FB3EB5"/>
    <w:rsid w:val="00FB4678"/>
    <w:rsid w:val="00FB4BF1"/>
    <w:rsid w:val="00FB50F9"/>
    <w:rsid w:val="00FB54AB"/>
    <w:rsid w:val="00FB7021"/>
    <w:rsid w:val="00FB73E3"/>
    <w:rsid w:val="00FB7518"/>
    <w:rsid w:val="00FB75DE"/>
    <w:rsid w:val="00FB7CFD"/>
    <w:rsid w:val="00FB7D15"/>
    <w:rsid w:val="00FC0345"/>
    <w:rsid w:val="00FC09B6"/>
    <w:rsid w:val="00FC0C24"/>
    <w:rsid w:val="00FC0D89"/>
    <w:rsid w:val="00FC12E2"/>
    <w:rsid w:val="00FC1ED5"/>
    <w:rsid w:val="00FC2085"/>
    <w:rsid w:val="00FC3149"/>
    <w:rsid w:val="00FC33D5"/>
    <w:rsid w:val="00FC3668"/>
    <w:rsid w:val="00FC3A8D"/>
    <w:rsid w:val="00FC3B64"/>
    <w:rsid w:val="00FC446D"/>
    <w:rsid w:val="00FC4935"/>
    <w:rsid w:val="00FC4B78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CDC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0537"/>
    <w:rsid w:val="00FE06D2"/>
    <w:rsid w:val="00FE0A9D"/>
    <w:rsid w:val="00FE1690"/>
    <w:rsid w:val="00FE20DC"/>
    <w:rsid w:val="00FE24A3"/>
    <w:rsid w:val="00FE27DF"/>
    <w:rsid w:val="00FE2915"/>
    <w:rsid w:val="00FE2F8D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9B"/>
    <w:rsid w:val="00FF30F7"/>
    <w:rsid w:val="00FF35B9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17D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2496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sv-SE"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B249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B2496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eastAsia="Times New Roman" w:hAnsi="Arial" w:cs="Arial"/>
      <w:sz w:val="20"/>
      <w:szCs w:val="20"/>
      <w:lang w:val="en-US"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 w:line="240" w:lineRule="auto"/>
    </w:pPr>
    <w:rPr>
      <w:rFonts w:ascii="Times New Roman" w:eastAsia="SimSun" w:hAnsi="Times New Roman" w:cs="Times New Roman"/>
      <w:szCs w:val="20"/>
      <w:lang w:val="en-US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 w:line="240" w:lineRule="auto"/>
    </w:pPr>
    <w:rPr>
      <w:rFonts w:ascii="SimSun" w:eastAsia="SimSun" w:hAnsi="SimSun" w:cs="SimSu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8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5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5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A20451E6-2CF8-4506-AFC6-6791AED043A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1141</Words>
  <Characters>6049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2023-01-10T14:35:00Z</dcterms:created>
  <dcterms:modified xsi:type="dcterms:W3CDTF">2023-02-17T10:25:00Z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2022-11-03T09:50:16Z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c0afffe4-993f-486d-973a-5e9394d0d635</vt:lpwstr>
  </property>
  <property fmtid="{D5CDD505-2E9C-101B-9397-08002B2CF9AE}" pid="9" name="MSIP_Label_83bcef13-7cac-433f-ba1d-47a323951816_ContentBits">
    <vt:lpwstr>0</vt:lpwstr>
  </property>
</Properties>
</file>